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76CD" w:rsidRDefault="00500635">
      <w:pPr>
        <w:pStyle w:val="a3"/>
        <w:ind w:left="6700"/>
        <w:rPr>
          <w:sz w:val="20"/>
        </w:rPr>
      </w:pPr>
      <w:r>
        <w:rPr>
          <w:noProof/>
          <w:sz w:val="20"/>
        </w:rPr>
        <w:drawing>
          <wp:inline distT="0" distB="0" distL="0" distR="0">
            <wp:extent cx="2040586" cy="787400"/>
            <wp:effectExtent l="0" t="0" r="0" b="0"/>
            <wp:docPr id="15776205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620501" name="Рисунок 157762050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9164" cy="810003"/>
                    </a:xfrm>
                    <a:prstGeom prst="rect">
                      <a:avLst/>
                    </a:prstGeom>
                  </pic:spPr>
                </pic:pic>
              </a:graphicData>
            </a:graphic>
          </wp:inline>
        </w:drawing>
      </w:r>
    </w:p>
    <w:p w:rsidR="00CE76CD" w:rsidRDefault="00CE76CD">
      <w:pPr>
        <w:pStyle w:val="a3"/>
        <w:rPr>
          <w:sz w:val="20"/>
        </w:rPr>
      </w:pPr>
    </w:p>
    <w:p w:rsidR="00CE76CD" w:rsidRDefault="00CE76CD">
      <w:pPr>
        <w:pStyle w:val="a3"/>
        <w:rPr>
          <w:sz w:val="20"/>
        </w:rPr>
      </w:pPr>
    </w:p>
    <w:p w:rsidR="00CE76CD" w:rsidRDefault="00CE76CD">
      <w:pPr>
        <w:pStyle w:val="a3"/>
        <w:spacing w:before="7"/>
        <w:rPr>
          <w:sz w:val="23"/>
        </w:rPr>
      </w:pPr>
    </w:p>
    <w:p w:rsidR="00CE76CD" w:rsidRDefault="00500635">
      <w:pPr>
        <w:pStyle w:val="a4"/>
        <w:spacing w:before="82"/>
      </w:pPr>
      <w:proofErr w:type="spellStart"/>
      <w:r>
        <w:t>Studemy</w:t>
      </w:r>
      <w:proofErr w:type="spellEnd"/>
      <w:r w:rsidR="00000000">
        <w:t xml:space="preserve"> Akademie</w:t>
      </w:r>
    </w:p>
    <w:p w:rsidR="00CE76CD" w:rsidRDefault="00CE76CD">
      <w:pPr>
        <w:pStyle w:val="a3"/>
        <w:spacing w:before="6"/>
        <w:rPr>
          <w:b/>
          <w:sz w:val="41"/>
        </w:rPr>
      </w:pPr>
    </w:p>
    <w:p w:rsidR="00CE76CD" w:rsidRDefault="00000000">
      <w:pPr>
        <w:pStyle w:val="4"/>
        <w:spacing w:before="1"/>
      </w:pPr>
      <w:r>
        <w:t>Institut für Sozialwissenschaften</w:t>
      </w:r>
    </w:p>
    <w:p w:rsidR="00CE76CD" w:rsidRDefault="00CE76CD">
      <w:pPr>
        <w:pStyle w:val="a3"/>
        <w:spacing w:before="6"/>
        <w:rPr>
          <w:b/>
          <w:sz w:val="26"/>
        </w:rPr>
      </w:pPr>
    </w:p>
    <w:p w:rsidR="00CE76CD" w:rsidRDefault="00CE76CD">
      <w:pPr>
        <w:pStyle w:val="a3"/>
        <w:rPr>
          <w:b/>
          <w:sz w:val="26"/>
        </w:rPr>
      </w:pPr>
    </w:p>
    <w:p w:rsidR="00CE76CD" w:rsidRDefault="00CE76CD">
      <w:pPr>
        <w:pStyle w:val="a3"/>
        <w:rPr>
          <w:b/>
          <w:sz w:val="26"/>
        </w:rPr>
      </w:pPr>
    </w:p>
    <w:p w:rsidR="00CE76CD" w:rsidRDefault="00CE76CD">
      <w:pPr>
        <w:pStyle w:val="a3"/>
        <w:spacing w:before="1"/>
        <w:rPr>
          <w:b/>
          <w:sz w:val="31"/>
        </w:rPr>
      </w:pPr>
    </w:p>
    <w:p w:rsidR="00CE76CD" w:rsidRDefault="00000000">
      <w:pPr>
        <w:pStyle w:val="a4"/>
        <w:ind w:left="865"/>
      </w:pPr>
      <w:r>
        <w:t>Bewertung von Embryonenforschung aus religiöser, gesellschaftspolitischer und ökonomischer Sicht – Eine Darstellung unterschiedlicher Standpunkte</w:t>
      </w:r>
    </w:p>
    <w:p w:rsidR="00CE76CD" w:rsidRDefault="00CE76CD">
      <w:pPr>
        <w:pStyle w:val="a3"/>
        <w:spacing w:before="10"/>
        <w:rPr>
          <w:b/>
          <w:sz w:val="41"/>
        </w:rPr>
      </w:pPr>
    </w:p>
    <w:p w:rsidR="00CE76CD" w:rsidRDefault="00000000">
      <w:pPr>
        <w:pStyle w:val="4"/>
      </w:pPr>
      <w:r>
        <w:t>Wissenschaftliche Arbeit - Hausarbeit</w:t>
      </w:r>
    </w:p>
    <w:p w:rsidR="00CE76CD" w:rsidRDefault="00CE76CD">
      <w:pPr>
        <w:pStyle w:val="a3"/>
        <w:rPr>
          <w:b/>
          <w:sz w:val="26"/>
        </w:rPr>
      </w:pPr>
    </w:p>
    <w:p w:rsidR="00CE76CD" w:rsidRDefault="00000000">
      <w:pPr>
        <w:pStyle w:val="a3"/>
        <w:spacing w:before="184" w:line="360" w:lineRule="auto"/>
        <w:ind w:left="2401" w:right="2383"/>
        <w:jc w:val="center"/>
      </w:pPr>
      <w:r>
        <w:t xml:space="preserve">Referent (Gutachter): Prof. </w:t>
      </w:r>
      <w:r w:rsidR="00500635" w:rsidRPr="00500635">
        <w:t>Dr. Robert Schäfer</w:t>
      </w:r>
      <w:r>
        <w:t xml:space="preserve"> Betreuer: </w:t>
      </w:r>
      <w:r w:rsidR="00500635" w:rsidRPr="00A0746C">
        <w:t>Lioba Kurzmann</w:t>
      </w:r>
    </w:p>
    <w:p w:rsidR="00CE76CD" w:rsidRDefault="00000000">
      <w:pPr>
        <w:pStyle w:val="a3"/>
        <w:spacing w:line="362" w:lineRule="auto"/>
        <w:ind w:left="3171" w:right="3153"/>
        <w:jc w:val="center"/>
      </w:pPr>
      <w:r>
        <w:t xml:space="preserve">Erstprüfer: </w:t>
      </w:r>
      <w:r w:rsidR="00500635" w:rsidRPr="00A0746C">
        <w:t>Katrin Hummel</w:t>
      </w:r>
      <w:r w:rsidR="00500635">
        <w:t xml:space="preserve"> </w:t>
      </w:r>
      <w:r>
        <w:t xml:space="preserve">Zweitprüfer: </w:t>
      </w:r>
      <w:r w:rsidR="00500635" w:rsidRPr="00A0746C">
        <w:t>Jonas Weiß</w:t>
      </w:r>
    </w:p>
    <w:p w:rsidR="00CE76CD" w:rsidRDefault="00CE76CD">
      <w:pPr>
        <w:pStyle w:val="a3"/>
        <w:rPr>
          <w:sz w:val="26"/>
        </w:rPr>
      </w:pPr>
    </w:p>
    <w:p w:rsidR="00CE76CD" w:rsidRDefault="00CE76CD">
      <w:pPr>
        <w:pStyle w:val="a3"/>
        <w:rPr>
          <w:sz w:val="26"/>
        </w:rPr>
      </w:pPr>
    </w:p>
    <w:p w:rsidR="00CE76CD" w:rsidRDefault="00CE76CD">
      <w:pPr>
        <w:pStyle w:val="a3"/>
        <w:rPr>
          <w:sz w:val="26"/>
        </w:rPr>
      </w:pPr>
    </w:p>
    <w:p w:rsidR="00CE76CD" w:rsidRDefault="00000000">
      <w:pPr>
        <w:pStyle w:val="a3"/>
        <w:spacing w:before="187"/>
        <w:ind w:left="235" w:right="6322"/>
        <w:rPr>
          <w:sz w:val="26"/>
        </w:rPr>
      </w:pPr>
      <w:r>
        <w:t xml:space="preserve">Vorgelegt von: </w:t>
      </w:r>
      <w:r w:rsidR="00500635" w:rsidRPr="00500635">
        <w:t>Gretel Bader</w:t>
      </w:r>
      <w:r w:rsidR="00500635" w:rsidRPr="00500635">
        <w:t xml:space="preserve"> </w:t>
      </w:r>
      <w:r>
        <w:t xml:space="preserve">Matrikelnummer: </w:t>
      </w:r>
      <w:r w:rsidR="00500635" w:rsidRPr="00A0746C">
        <w:rPr>
          <w:sz w:val="26"/>
        </w:rPr>
        <w:t>400 16</w:t>
      </w:r>
      <w:r w:rsidR="00500635">
        <w:rPr>
          <w:sz w:val="26"/>
        </w:rPr>
        <w:t>4</w:t>
      </w:r>
    </w:p>
    <w:p w:rsidR="00CE76CD" w:rsidRDefault="00000000">
      <w:pPr>
        <w:spacing w:before="2" w:line="298" w:lineRule="exact"/>
        <w:ind w:left="235"/>
        <w:rPr>
          <w:sz w:val="26"/>
        </w:rPr>
      </w:pPr>
      <w:r>
        <w:rPr>
          <w:sz w:val="24"/>
        </w:rPr>
        <w:t xml:space="preserve">Adresse: </w:t>
      </w:r>
      <w:r w:rsidR="00500635" w:rsidRPr="00A0746C">
        <w:rPr>
          <w:sz w:val="24"/>
        </w:rPr>
        <w:t>Stuttgarter</w:t>
      </w:r>
      <w:r w:rsidR="00500635" w:rsidRPr="00A0746C">
        <w:rPr>
          <w:sz w:val="24"/>
        </w:rPr>
        <w:t xml:space="preserve"> </w:t>
      </w:r>
      <w:r w:rsidR="00500635" w:rsidRPr="00A0746C">
        <w:rPr>
          <w:sz w:val="24"/>
        </w:rPr>
        <w:t>Platz 80</w:t>
      </w:r>
    </w:p>
    <w:p w:rsidR="00CE76CD" w:rsidRDefault="00500635">
      <w:pPr>
        <w:pStyle w:val="a3"/>
        <w:spacing w:line="242" w:lineRule="auto"/>
        <w:ind w:left="235" w:right="6506"/>
      </w:pPr>
      <w:r>
        <w:t>E-Mail:</w:t>
      </w:r>
      <w:r w:rsidRPr="00500635">
        <w:t xml:space="preserve"> </w:t>
      </w:r>
      <w:hyperlink r:id="rId8" w:history="1">
        <w:r w:rsidRPr="00946954">
          <w:rPr>
            <w:rStyle w:val="a6"/>
          </w:rPr>
          <w:t>info@studemy.de</w:t>
        </w:r>
      </w:hyperlink>
      <w:r>
        <w:t xml:space="preserve"> </w:t>
      </w:r>
      <w:r w:rsidR="00000000">
        <w:t xml:space="preserve">Telefon: </w:t>
      </w:r>
      <w:r w:rsidRPr="00A0746C">
        <w:t>+493052014217</w:t>
      </w:r>
    </w:p>
    <w:p w:rsidR="00CE76CD" w:rsidRDefault="00000000">
      <w:pPr>
        <w:pStyle w:val="a3"/>
        <w:spacing w:line="247" w:lineRule="auto"/>
        <w:ind w:left="235" w:right="5949"/>
      </w:pPr>
      <w:r>
        <w:t>Studienfach: Sozialwissenschaften Sommersemester 2019</w:t>
      </w:r>
    </w:p>
    <w:p w:rsidR="00CE76CD" w:rsidRDefault="00CE76CD">
      <w:pPr>
        <w:pStyle w:val="a3"/>
        <w:rPr>
          <w:sz w:val="26"/>
        </w:rPr>
      </w:pPr>
    </w:p>
    <w:p w:rsidR="00CE76CD" w:rsidRDefault="00000000">
      <w:pPr>
        <w:pStyle w:val="a3"/>
        <w:spacing w:before="201"/>
        <w:ind w:right="216"/>
        <w:jc w:val="right"/>
      </w:pPr>
      <w:r>
        <w:t>Berlin, 2</w:t>
      </w:r>
      <w:r w:rsidR="00500635">
        <w:t>3</w:t>
      </w:r>
      <w:r>
        <w:t>.0</w:t>
      </w:r>
      <w:r w:rsidR="00500635">
        <w:t>6</w:t>
      </w:r>
      <w:r>
        <w:t>.20</w:t>
      </w:r>
      <w:r w:rsidR="00500635">
        <w:t>20</w:t>
      </w:r>
    </w:p>
    <w:p w:rsidR="00CE76CD" w:rsidRDefault="00CE76CD">
      <w:pPr>
        <w:jc w:val="right"/>
        <w:sectPr w:rsidR="00CE76CD">
          <w:type w:val="continuous"/>
          <w:pgSz w:w="11910" w:h="16840"/>
          <w:pgMar w:top="700" w:right="1180" w:bottom="280" w:left="1200" w:header="720" w:footer="720" w:gutter="0"/>
          <w:cols w:space="720"/>
        </w:sectPr>
      </w:pPr>
    </w:p>
    <w:p w:rsidR="00CE76CD" w:rsidRDefault="00CE76CD">
      <w:pPr>
        <w:pStyle w:val="a3"/>
        <w:spacing w:before="10"/>
        <w:rPr>
          <w:sz w:val="29"/>
        </w:rPr>
      </w:pPr>
    </w:p>
    <w:p w:rsidR="00CE76CD" w:rsidRDefault="00000000">
      <w:pPr>
        <w:pStyle w:val="1"/>
      </w:pPr>
      <w:bookmarkStart w:id="0" w:name="_TOC_250012"/>
      <w:bookmarkEnd w:id="0"/>
      <w:r>
        <w:t>Inhaltsverzeichnis</w:t>
      </w:r>
    </w:p>
    <w:sdt>
      <w:sdtPr>
        <w:id w:val="852460722"/>
        <w:docPartObj>
          <w:docPartGallery w:val="Table of Contents"/>
          <w:docPartUnique/>
        </w:docPartObj>
      </w:sdtPr>
      <w:sdtContent>
        <w:p w:rsidR="00CE76CD" w:rsidRDefault="00000000">
          <w:pPr>
            <w:pStyle w:val="10"/>
            <w:tabs>
              <w:tab w:val="right" w:leader="dot" w:pos="9294"/>
            </w:tabs>
            <w:spacing w:before="286"/>
          </w:pPr>
          <w:hyperlink w:anchor="_TOC_250012" w:history="1">
            <w:r>
              <w:t>Inhaltsverzeichnis</w:t>
            </w:r>
            <w:r>
              <w:tab/>
              <w:t>I</w:t>
            </w:r>
          </w:hyperlink>
        </w:p>
        <w:p w:rsidR="00CE76CD" w:rsidRDefault="00000000">
          <w:pPr>
            <w:pStyle w:val="10"/>
            <w:tabs>
              <w:tab w:val="right" w:leader="dot" w:pos="9294"/>
            </w:tabs>
          </w:pPr>
          <w:hyperlink w:anchor="_TOC_250011" w:history="1">
            <w:r>
              <w:t>Abkürzungsverzeichnis</w:t>
            </w:r>
            <w:r>
              <w:tab/>
              <w:t>II</w:t>
            </w:r>
          </w:hyperlink>
        </w:p>
        <w:p w:rsidR="00CE76CD" w:rsidRDefault="00000000">
          <w:pPr>
            <w:pStyle w:val="10"/>
            <w:tabs>
              <w:tab w:val="right" w:leader="dot" w:pos="9294"/>
            </w:tabs>
            <w:spacing w:before="262"/>
          </w:pPr>
          <w:hyperlink w:anchor="_TOC_250010" w:history="1">
            <w:r>
              <w:t>Abbildungsverzeichnis</w:t>
            </w:r>
            <w:r>
              <w:tab/>
              <w:t>IV</w:t>
            </w:r>
          </w:hyperlink>
        </w:p>
        <w:p w:rsidR="00CE76CD" w:rsidRDefault="00000000">
          <w:pPr>
            <w:pStyle w:val="10"/>
            <w:tabs>
              <w:tab w:val="right" w:leader="dot" w:pos="9294"/>
            </w:tabs>
          </w:pPr>
          <w:r>
            <w:t>Tabellenverzeichnis</w:t>
          </w:r>
          <w:r>
            <w:tab/>
            <w:t>V</w:t>
          </w:r>
        </w:p>
        <w:p w:rsidR="00CE76CD" w:rsidRDefault="00000000">
          <w:pPr>
            <w:pStyle w:val="10"/>
            <w:numPr>
              <w:ilvl w:val="0"/>
              <w:numId w:val="2"/>
            </w:numPr>
            <w:tabs>
              <w:tab w:val="left" w:pos="416"/>
              <w:tab w:val="right" w:leader="dot" w:pos="9294"/>
            </w:tabs>
            <w:ind w:hanging="181"/>
          </w:pPr>
          <w:hyperlink w:anchor="_TOC_250009" w:history="1">
            <w:r>
              <w:t>Einführung</w:t>
            </w:r>
            <w:r>
              <w:tab/>
              <w:t>1</w:t>
            </w:r>
          </w:hyperlink>
        </w:p>
        <w:p w:rsidR="00CE76CD" w:rsidRDefault="00000000">
          <w:pPr>
            <w:pStyle w:val="10"/>
            <w:numPr>
              <w:ilvl w:val="0"/>
              <w:numId w:val="2"/>
            </w:numPr>
            <w:tabs>
              <w:tab w:val="left" w:pos="416"/>
              <w:tab w:val="right" w:leader="dot" w:pos="9294"/>
            </w:tabs>
            <w:spacing w:before="256"/>
            <w:ind w:hanging="181"/>
          </w:pPr>
          <w:hyperlink w:anchor="_TOC_250008" w:history="1">
            <w:r>
              <w:t>Naturwissenschaftliche</w:t>
            </w:r>
            <w:r>
              <w:rPr>
                <w:spacing w:val="-2"/>
              </w:rPr>
              <w:t xml:space="preserve"> </w:t>
            </w:r>
            <w:r>
              <w:t>Grundlagen</w:t>
            </w:r>
            <w:r>
              <w:tab/>
              <w:t>2</w:t>
            </w:r>
          </w:hyperlink>
        </w:p>
        <w:p w:rsidR="00CE76CD" w:rsidRDefault="00000000">
          <w:pPr>
            <w:pStyle w:val="20"/>
            <w:numPr>
              <w:ilvl w:val="1"/>
              <w:numId w:val="2"/>
            </w:numPr>
            <w:tabs>
              <w:tab w:val="left" w:pos="816"/>
              <w:tab w:val="right" w:leader="dot" w:pos="9294"/>
            </w:tabs>
            <w:ind w:hanging="361"/>
          </w:pPr>
          <w:hyperlink w:anchor="_TOC_250007" w:history="1">
            <w:r>
              <w:t>Embryonenforschung</w:t>
            </w:r>
            <w:r>
              <w:tab/>
              <w:t>2</w:t>
            </w:r>
          </w:hyperlink>
        </w:p>
        <w:p w:rsidR="00CE76CD" w:rsidRDefault="00000000">
          <w:pPr>
            <w:pStyle w:val="20"/>
            <w:numPr>
              <w:ilvl w:val="1"/>
              <w:numId w:val="2"/>
            </w:numPr>
            <w:tabs>
              <w:tab w:val="left" w:pos="816"/>
              <w:tab w:val="right" w:leader="dot" w:pos="9294"/>
            </w:tabs>
            <w:spacing w:before="262"/>
            <w:ind w:hanging="361"/>
          </w:pPr>
          <w:hyperlink w:anchor="_TOC_250006" w:history="1">
            <w:r>
              <w:t>Stammzellenforschung</w:t>
            </w:r>
            <w:r>
              <w:tab/>
              <w:t>3</w:t>
            </w:r>
          </w:hyperlink>
        </w:p>
        <w:p w:rsidR="00CE76CD" w:rsidRDefault="00000000">
          <w:pPr>
            <w:pStyle w:val="10"/>
            <w:numPr>
              <w:ilvl w:val="0"/>
              <w:numId w:val="2"/>
            </w:numPr>
            <w:tabs>
              <w:tab w:val="left" w:pos="416"/>
              <w:tab w:val="right" w:leader="dot" w:pos="9294"/>
            </w:tabs>
            <w:ind w:hanging="181"/>
          </w:pPr>
          <w:hyperlink w:anchor="_TOC_250005" w:history="1">
            <w:r>
              <w:t>Unterschiedliche Standpunkte für die Bewertung</w:t>
            </w:r>
            <w:r>
              <w:rPr>
                <w:spacing w:val="-6"/>
              </w:rPr>
              <w:t xml:space="preserve"> </w:t>
            </w:r>
            <w:r>
              <w:t>der Embryonenforschung</w:t>
            </w:r>
            <w:r>
              <w:tab/>
              <w:t>6</w:t>
            </w:r>
          </w:hyperlink>
        </w:p>
        <w:p w:rsidR="00CE76CD" w:rsidRDefault="00000000">
          <w:pPr>
            <w:pStyle w:val="20"/>
            <w:numPr>
              <w:ilvl w:val="1"/>
              <w:numId w:val="2"/>
            </w:numPr>
            <w:tabs>
              <w:tab w:val="left" w:pos="816"/>
              <w:tab w:val="right" w:leader="dot" w:pos="9294"/>
            </w:tabs>
            <w:spacing w:before="256"/>
            <w:ind w:hanging="361"/>
          </w:pPr>
          <w:hyperlink w:anchor="_TOC_250004" w:history="1">
            <w:r>
              <w:t>Sichtweise</w:t>
            </w:r>
            <w:r>
              <w:rPr>
                <w:spacing w:val="-2"/>
              </w:rPr>
              <w:t xml:space="preserve"> </w:t>
            </w:r>
            <w:r>
              <w:t>der Weltreligionen</w:t>
            </w:r>
            <w:r>
              <w:tab/>
              <w:t>6</w:t>
            </w:r>
          </w:hyperlink>
        </w:p>
        <w:p w:rsidR="00CE76CD" w:rsidRDefault="00000000">
          <w:pPr>
            <w:pStyle w:val="20"/>
            <w:numPr>
              <w:ilvl w:val="1"/>
              <w:numId w:val="2"/>
            </w:numPr>
            <w:tabs>
              <w:tab w:val="left" w:pos="816"/>
              <w:tab w:val="right" w:leader="dot" w:pos="9294"/>
            </w:tabs>
            <w:ind w:hanging="361"/>
          </w:pPr>
          <w:hyperlink w:anchor="_TOC_250003" w:history="1">
            <w:r>
              <w:t>Gesellschaftspolitische</w:t>
            </w:r>
            <w:r>
              <w:rPr>
                <w:spacing w:val="-2"/>
              </w:rPr>
              <w:t xml:space="preserve"> </w:t>
            </w:r>
            <w:r>
              <w:t>(ethisch-moralische) Sicht</w:t>
            </w:r>
            <w:r>
              <w:tab/>
              <w:t>8</w:t>
            </w:r>
          </w:hyperlink>
        </w:p>
        <w:p w:rsidR="00CE76CD" w:rsidRDefault="00000000">
          <w:pPr>
            <w:pStyle w:val="20"/>
            <w:numPr>
              <w:ilvl w:val="1"/>
              <w:numId w:val="2"/>
            </w:numPr>
            <w:tabs>
              <w:tab w:val="left" w:pos="816"/>
              <w:tab w:val="right" w:leader="dot" w:pos="9294"/>
            </w:tabs>
            <w:spacing w:before="262"/>
            <w:ind w:hanging="361"/>
          </w:pPr>
          <w:hyperlink w:anchor="_TOC_250002" w:history="1">
            <w:r>
              <w:t>Ökonomische</w:t>
            </w:r>
            <w:r>
              <w:rPr>
                <w:spacing w:val="-2"/>
              </w:rPr>
              <w:t xml:space="preserve"> </w:t>
            </w:r>
            <w:r>
              <w:t>Sicht</w:t>
            </w:r>
            <w:r>
              <w:tab/>
              <w:t>9</w:t>
            </w:r>
          </w:hyperlink>
        </w:p>
        <w:p w:rsidR="00CE76CD" w:rsidRDefault="00000000">
          <w:pPr>
            <w:pStyle w:val="10"/>
            <w:numPr>
              <w:ilvl w:val="0"/>
              <w:numId w:val="2"/>
            </w:numPr>
            <w:tabs>
              <w:tab w:val="left" w:pos="416"/>
              <w:tab w:val="right" w:leader="dot" w:pos="9294"/>
            </w:tabs>
            <w:ind w:hanging="181"/>
          </w:pPr>
          <w:hyperlink w:anchor="_TOC_250001" w:history="1">
            <w:r>
              <w:t>Fazit</w:t>
            </w:r>
            <w:r>
              <w:tab/>
              <w:t>10</w:t>
            </w:r>
          </w:hyperlink>
        </w:p>
        <w:p w:rsidR="00CE76CD" w:rsidRDefault="00000000">
          <w:pPr>
            <w:pStyle w:val="10"/>
            <w:tabs>
              <w:tab w:val="right" w:leader="dot" w:pos="9294"/>
            </w:tabs>
          </w:pPr>
          <w:hyperlink w:anchor="_TOC_250000" w:history="1">
            <w:r>
              <w:t>Literaturverzeichnis</w:t>
            </w:r>
            <w:r>
              <w:tab/>
              <w:t>11</w:t>
            </w:r>
          </w:hyperlink>
        </w:p>
      </w:sdtContent>
    </w:sdt>
    <w:p w:rsidR="00CE76CD" w:rsidRDefault="00CE76CD">
      <w:pPr>
        <w:sectPr w:rsidR="00CE76CD">
          <w:headerReference w:type="default" r:id="rId9"/>
          <w:pgSz w:w="11910" w:h="16840"/>
          <w:pgMar w:top="1000" w:right="1180" w:bottom="280" w:left="1200" w:header="736" w:footer="0" w:gutter="0"/>
          <w:pgNumType w:start="1"/>
          <w:cols w:space="720"/>
        </w:sectPr>
      </w:pPr>
    </w:p>
    <w:p w:rsidR="00CE76CD" w:rsidRDefault="00CE76CD">
      <w:pPr>
        <w:pStyle w:val="a3"/>
        <w:spacing w:before="5"/>
        <w:rPr>
          <w:sz w:val="37"/>
        </w:rPr>
      </w:pPr>
    </w:p>
    <w:p w:rsidR="00CE76CD" w:rsidRDefault="00000000">
      <w:pPr>
        <w:pStyle w:val="1"/>
        <w:spacing w:before="0"/>
      </w:pPr>
      <w:bookmarkStart w:id="1" w:name="_TOC_250011"/>
      <w:bookmarkEnd w:id="1"/>
      <w:r>
        <w:t>Abkürzungsverzeichnis</w:t>
      </w:r>
    </w:p>
    <w:p w:rsidR="00CE76CD" w:rsidRDefault="00CE76CD">
      <w:pPr>
        <w:pStyle w:val="a3"/>
        <w:spacing w:before="10"/>
        <w:rPr>
          <w:b/>
        </w:rPr>
      </w:pPr>
    </w:p>
    <w:p w:rsidR="00CE76CD" w:rsidRDefault="00000000">
      <w:pPr>
        <w:pStyle w:val="a3"/>
        <w:tabs>
          <w:tab w:val="left" w:pos="1650"/>
        </w:tabs>
        <w:spacing w:before="1"/>
        <w:ind w:left="235"/>
      </w:pPr>
      <w:r>
        <w:t>AS-Zellen</w:t>
      </w:r>
      <w:r>
        <w:tab/>
        <w:t>Adulte</w:t>
      </w:r>
      <w:r>
        <w:rPr>
          <w:spacing w:val="-2"/>
        </w:rPr>
        <w:t xml:space="preserve"> </w:t>
      </w:r>
      <w:r>
        <w:t>Stammzellen</w:t>
      </w:r>
    </w:p>
    <w:p w:rsidR="00CE76CD" w:rsidRDefault="00CE76CD">
      <w:pPr>
        <w:pStyle w:val="a3"/>
        <w:spacing w:before="3"/>
        <w:rPr>
          <w:sz w:val="22"/>
        </w:rPr>
      </w:pPr>
    </w:p>
    <w:p w:rsidR="00CE76CD" w:rsidRDefault="00000000">
      <w:pPr>
        <w:pStyle w:val="a3"/>
        <w:tabs>
          <w:tab w:val="left" w:pos="1650"/>
        </w:tabs>
        <w:spacing w:line="468" w:lineRule="auto"/>
        <w:ind w:left="235" w:right="2521"/>
      </w:pPr>
      <w:proofErr w:type="gramStart"/>
      <w:r>
        <w:t>BGF</w:t>
      </w:r>
      <w:r>
        <w:tab/>
        <w:t>Beiträge</w:t>
      </w:r>
      <w:proofErr w:type="gramEnd"/>
      <w:r>
        <w:t xml:space="preserve"> zur gesellschaftswissenschaftlichen Forschung bzw.</w:t>
      </w:r>
      <w:r>
        <w:tab/>
        <w:t>beziehungsweise</w:t>
      </w:r>
    </w:p>
    <w:p w:rsidR="00CE76CD" w:rsidRDefault="00000000">
      <w:pPr>
        <w:pStyle w:val="a3"/>
        <w:tabs>
          <w:tab w:val="left" w:pos="1650"/>
        </w:tabs>
        <w:spacing w:line="270" w:lineRule="exact"/>
        <w:ind w:left="235"/>
      </w:pPr>
      <w:r>
        <w:t>d.h.</w:t>
      </w:r>
      <w:r>
        <w:tab/>
        <w:t>das</w:t>
      </w:r>
      <w:r>
        <w:rPr>
          <w:spacing w:val="-1"/>
        </w:rPr>
        <w:t xml:space="preserve"> </w:t>
      </w:r>
      <w:r>
        <w:t>heißt</w:t>
      </w:r>
    </w:p>
    <w:p w:rsidR="00CE76CD" w:rsidRDefault="00CE76CD">
      <w:pPr>
        <w:pStyle w:val="a3"/>
        <w:spacing w:before="4"/>
        <w:rPr>
          <w:sz w:val="22"/>
        </w:rPr>
      </w:pPr>
    </w:p>
    <w:p w:rsidR="00CE76CD" w:rsidRDefault="00000000">
      <w:pPr>
        <w:pStyle w:val="a3"/>
        <w:tabs>
          <w:tab w:val="left" w:pos="1650"/>
        </w:tabs>
        <w:ind w:left="235"/>
      </w:pPr>
      <w:r>
        <w:t>DBK</w:t>
      </w:r>
      <w:r>
        <w:tab/>
        <w:t>Deutsche</w:t>
      </w:r>
      <w:r>
        <w:rPr>
          <w:spacing w:val="-2"/>
        </w:rPr>
        <w:t xml:space="preserve"> </w:t>
      </w:r>
      <w:r>
        <w:t>Bischofskonferenz</w:t>
      </w:r>
    </w:p>
    <w:p w:rsidR="00CE76CD" w:rsidRDefault="00CE76CD">
      <w:pPr>
        <w:pStyle w:val="a3"/>
        <w:spacing w:before="4"/>
        <w:rPr>
          <w:sz w:val="22"/>
        </w:rPr>
      </w:pPr>
    </w:p>
    <w:p w:rsidR="00CE76CD" w:rsidRDefault="00000000">
      <w:pPr>
        <w:pStyle w:val="a3"/>
        <w:tabs>
          <w:tab w:val="left" w:pos="1644"/>
        </w:tabs>
        <w:spacing w:line="360" w:lineRule="auto"/>
        <w:ind w:left="1645" w:right="219" w:hanging="1410"/>
      </w:pPr>
      <w:r>
        <w:t>DGSGB</w:t>
      </w:r>
      <w:r>
        <w:tab/>
        <w:t>Deutsche Gesellschaft für seelische Gesundheit bei Menschen mit geistiger Behinderung</w:t>
      </w:r>
    </w:p>
    <w:p w:rsidR="00CE76CD" w:rsidRDefault="00000000">
      <w:pPr>
        <w:pStyle w:val="a3"/>
        <w:tabs>
          <w:tab w:val="left" w:pos="1650"/>
        </w:tabs>
        <w:spacing w:before="123" w:line="463" w:lineRule="auto"/>
        <w:ind w:left="235" w:right="2008"/>
      </w:pPr>
      <w:r>
        <w:t>DRZE</w:t>
      </w:r>
      <w:r>
        <w:tab/>
        <w:t>Deutsches Referenzzentrum für Ethik in der Biowissenschaft EC-Zellen</w:t>
      </w:r>
      <w:r>
        <w:tab/>
      </w:r>
      <w:proofErr w:type="spellStart"/>
      <w:r>
        <w:t>Embryonic</w:t>
      </w:r>
      <w:proofErr w:type="spellEnd"/>
      <w:r>
        <w:t xml:space="preserve"> </w:t>
      </w:r>
      <w:proofErr w:type="spellStart"/>
      <w:r>
        <w:t>Carinoma</w:t>
      </w:r>
      <w:proofErr w:type="spellEnd"/>
      <w:r>
        <w:rPr>
          <w:spacing w:val="-3"/>
        </w:rPr>
        <w:t xml:space="preserve"> </w:t>
      </w:r>
      <w:r>
        <w:t>Cells</w:t>
      </w:r>
    </w:p>
    <w:p w:rsidR="00CE76CD" w:rsidRDefault="00000000">
      <w:pPr>
        <w:pStyle w:val="a3"/>
        <w:tabs>
          <w:tab w:val="left" w:pos="1650"/>
        </w:tabs>
        <w:ind w:left="235"/>
      </w:pPr>
      <w:r>
        <w:t>EG-Zellen</w:t>
      </w:r>
      <w:r>
        <w:tab/>
      </w:r>
      <w:proofErr w:type="spellStart"/>
      <w:r>
        <w:t>Embryonic</w:t>
      </w:r>
      <w:proofErr w:type="spellEnd"/>
      <w:r>
        <w:t xml:space="preserve"> Germ</w:t>
      </w:r>
      <w:r>
        <w:rPr>
          <w:spacing w:val="-3"/>
        </w:rPr>
        <w:t xml:space="preserve"> </w:t>
      </w:r>
      <w:r>
        <w:t>Cells</w:t>
      </w:r>
    </w:p>
    <w:p w:rsidR="00CE76CD" w:rsidRDefault="00CE76CD">
      <w:pPr>
        <w:pStyle w:val="a3"/>
        <w:spacing w:before="4"/>
        <w:rPr>
          <w:sz w:val="22"/>
        </w:rPr>
      </w:pPr>
    </w:p>
    <w:p w:rsidR="00CE76CD" w:rsidRDefault="00000000">
      <w:pPr>
        <w:pStyle w:val="a3"/>
        <w:tabs>
          <w:tab w:val="left" w:pos="1650"/>
        </w:tabs>
        <w:spacing w:line="468" w:lineRule="auto"/>
        <w:ind w:left="235" w:right="4374"/>
      </w:pPr>
      <w:r>
        <w:t>EKD</w:t>
      </w:r>
      <w:r>
        <w:tab/>
        <w:t xml:space="preserve">Evangelische Kirche in Deutschland </w:t>
      </w:r>
      <w:proofErr w:type="spellStart"/>
      <w:r>
        <w:t>EMSchG</w:t>
      </w:r>
      <w:proofErr w:type="spellEnd"/>
      <w:r>
        <w:tab/>
        <w:t>Embryonenschutzgesetz</w:t>
      </w:r>
    </w:p>
    <w:p w:rsidR="00CE76CD" w:rsidRDefault="00000000">
      <w:pPr>
        <w:pStyle w:val="a3"/>
        <w:tabs>
          <w:tab w:val="left" w:pos="1650"/>
        </w:tabs>
        <w:spacing w:line="270" w:lineRule="exact"/>
        <w:ind w:left="235"/>
      </w:pPr>
      <w:r>
        <w:t>ES-Zellen</w:t>
      </w:r>
      <w:r>
        <w:tab/>
      </w:r>
      <w:proofErr w:type="spellStart"/>
      <w:r>
        <w:t>Embryonic</w:t>
      </w:r>
      <w:proofErr w:type="spellEnd"/>
      <w:r>
        <w:t xml:space="preserve"> </w:t>
      </w:r>
      <w:proofErr w:type="spellStart"/>
      <w:r>
        <w:t>Stem</w:t>
      </w:r>
      <w:proofErr w:type="spellEnd"/>
      <w:r>
        <w:rPr>
          <w:spacing w:val="-2"/>
        </w:rPr>
        <w:t xml:space="preserve"> </w:t>
      </w:r>
      <w:r>
        <w:t>Cells</w:t>
      </w:r>
    </w:p>
    <w:p w:rsidR="00CE76CD" w:rsidRDefault="00CE76CD">
      <w:pPr>
        <w:pStyle w:val="a3"/>
        <w:spacing w:before="3"/>
        <w:rPr>
          <w:sz w:val="22"/>
        </w:rPr>
      </w:pPr>
    </w:p>
    <w:p w:rsidR="00CE76CD" w:rsidRDefault="00000000">
      <w:pPr>
        <w:pStyle w:val="a3"/>
        <w:tabs>
          <w:tab w:val="left" w:pos="1650"/>
        </w:tabs>
        <w:spacing w:before="1"/>
        <w:ind w:left="235"/>
      </w:pPr>
      <w:r>
        <w:t>f.</w:t>
      </w:r>
      <w:r>
        <w:tab/>
        <w:t>folgende</w:t>
      </w:r>
    </w:p>
    <w:p w:rsidR="00CE76CD" w:rsidRDefault="00CE76CD">
      <w:pPr>
        <w:pStyle w:val="a3"/>
        <w:spacing w:before="3"/>
        <w:rPr>
          <w:sz w:val="22"/>
        </w:rPr>
      </w:pPr>
    </w:p>
    <w:p w:rsidR="00CE76CD" w:rsidRDefault="00000000">
      <w:pPr>
        <w:pStyle w:val="a3"/>
        <w:tabs>
          <w:tab w:val="left" w:pos="1650"/>
        </w:tabs>
        <w:ind w:left="235"/>
      </w:pPr>
      <w:r>
        <w:t>ff.</w:t>
      </w:r>
      <w:r>
        <w:tab/>
        <w:t>fortfolgende</w:t>
      </w:r>
    </w:p>
    <w:p w:rsidR="00CE76CD" w:rsidRDefault="00CE76CD">
      <w:pPr>
        <w:pStyle w:val="a3"/>
        <w:spacing w:before="9"/>
        <w:rPr>
          <w:sz w:val="22"/>
        </w:rPr>
      </w:pPr>
    </w:p>
    <w:p w:rsidR="00CE76CD" w:rsidRDefault="00000000">
      <w:pPr>
        <w:pStyle w:val="a3"/>
        <w:tabs>
          <w:tab w:val="left" w:pos="1650"/>
        </w:tabs>
        <w:ind w:left="235"/>
      </w:pPr>
      <w:proofErr w:type="gramStart"/>
      <w:r>
        <w:t>GG</w:t>
      </w:r>
      <w:r>
        <w:tab/>
        <w:t>Grundgesetz</w:t>
      </w:r>
      <w:proofErr w:type="gramEnd"/>
    </w:p>
    <w:p w:rsidR="00CE76CD" w:rsidRDefault="00CE76CD">
      <w:pPr>
        <w:pStyle w:val="a3"/>
        <w:spacing w:before="4"/>
        <w:rPr>
          <w:sz w:val="22"/>
        </w:rPr>
      </w:pPr>
    </w:p>
    <w:p w:rsidR="00CE76CD" w:rsidRDefault="00000000">
      <w:pPr>
        <w:pStyle w:val="a3"/>
        <w:tabs>
          <w:tab w:val="left" w:pos="1650"/>
        </w:tabs>
        <w:ind w:left="235"/>
      </w:pPr>
      <w:r>
        <w:t>Hrsg.</w:t>
      </w:r>
      <w:r>
        <w:tab/>
        <w:t>Herausgeber</w:t>
      </w:r>
    </w:p>
    <w:p w:rsidR="00CE76CD" w:rsidRDefault="00CE76CD">
      <w:pPr>
        <w:pStyle w:val="a3"/>
        <w:spacing w:before="4"/>
        <w:rPr>
          <w:sz w:val="22"/>
        </w:rPr>
      </w:pPr>
    </w:p>
    <w:p w:rsidR="00CE76CD" w:rsidRDefault="00000000">
      <w:pPr>
        <w:pStyle w:val="a3"/>
        <w:tabs>
          <w:tab w:val="left" w:pos="1650"/>
        </w:tabs>
        <w:ind w:left="235"/>
      </w:pPr>
      <w:r>
        <w:t>i.d.R.</w:t>
      </w:r>
      <w:r>
        <w:tab/>
        <w:t>in der</w:t>
      </w:r>
      <w:r>
        <w:rPr>
          <w:spacing w:val="-3"/>
        </w:rPr>
        <w:t xml:space="preserve"> </w:t>
      </w:r>
      <w:r>
        <w:t>Regel</w:t>
      </w:r>
    </w:p>
    <w:p w:rsidR="00CE76CD" w:rsidRDefault="00CE76CD">
      <w:pPr>
        <w:pStyle w:val="a3"/>
        <w:spacing w:before="3"/>
        <w:rPr>
          <w:sz w:val="22"/>
        </w:rPr>
      </w:pPr>
    </w:p>
    <w:p w:rsidR="00CE76CD" w:rsidRDefault="00000000">
      <w:pPr>
        <w:pStyle w:val="a3"/>
        <w:tabs>
          <w:tab w:val="left" w:pos="1650"/>
        </w:tabs>
        <w:spacing w:before="1"/>
        <w:ind w:left="235"/>
      </w:pPr>
      <w:proofErr w:type="spellStart"/>
      <w:r>
        <w:t>i.W</w:t>
      </w:r>
      <w:proofErr w:type="spellEnd"/>
      <w:r>
        <w:t>.</w:t>
      </w:r>
      <w:r>
        <w:tab/>
        <w:t>im</w:t>
      </w:r>
      <w:r>
        <w:rPr>
          <w:spacing w:val="-1"/>
        </w:rPr>
        <w:t xml:space="preserve"> </w:t>
      </w:r>
      <w:r>
        <w:t>Wesentlichen</w:t>
      </w:r>
    </w:p>
    <w:p w:rsidR="00CE76CD" w:rsidRDefault="00CE76CD">
      <w:pPr>
        <w:pStyle w:val="a3"/>
        <w:spacing w:before="8"/>
        <w:rPr>
          <w:sz w:val="22"/>
        </w:rPr>
      </w:pPr>
    </w:p>
    <w:p w:rsidR="00CE76CD" w:rsidRDefault="00000000">
      <w:pPr>
        <w:pStyle w:val="a3"/>
        <w:tabs>
          <w:tab w:val="left" w:pos="1650"/>
        </w:tabs>
        <w:ind w:left="235"/>
      </w:pPr>
      <w:r>
        <w:t>o.J.</w:t>
      </w:r>
      <w:r>
        <w:tab/>
        <w:t>ohne</w:t>
      </w:r>
      <w:r>
        <w:rPr>
          <w:spacing w:val="-5"/>
        </w:rPr>
        <w:t xml:space="preserve"> </w:t>
      </w:r>
      <w:r>
        <w:t>Jahresangabe</w:t>
      </w:r>
    </w:p>
    <w:p w:rsidR="00CE76CD" w:rsidRDefault="00CE76CD">
      <w:pPr>
        <w:pStyle w:val="a3"/>
        <w:spacing w:before="4"/>
        <w:rPr>
          <w:sz w:val="22"/>
        </w:rPr>
      </w:pPr>
    </w:p>
    <w:p w:rsidR="00CE76CD" w:rsidRDefault="00000000">
      <w:pPr>
        <w:pStyle w:val="a3"/>
        <w:tabs>
          <w:tab w:val="left" w:pos="1650"/>
        </w:tabs>
        <w:ind w:left="235"/>
      </w:pPr>
      <w:proofErr w:type="spellStart"/>
      <w:r>
        <w:t>o.S</w:t>
      </w:r>
      <w:proofErr w:type="spellEnd"/>
      <w:r>
        <w:t>.</w:t>
      </w:r>
      <w:r>
        <w:tab/>
        <w:t>ohne</w:t>
      </w:r>
      <w:r>
        <w:rPr>
          <w:spacing w:val="-5"/>
        </w:rPr>
        <w:t xml:space="preserve"> </w:t>
      </w:r>
      <w:r>
        <w:t>Seitenangabe</w:t>
      </w:r>
    </w:p>
    <w:p w:rsidR="00CE76CD" w:rsidRDefault="00CE76CD">
      <w:pPr>
        <w:pStyle w:val="a3"/>
        <w:spacing w:before="4"/>
        <w:rPr>
          <w:sz w:val="22"/>
        </w:rPr>
      </w:pPr>
    </w:p>
    <w:p w:rsidR="00CE76CD" w:rsidRDefault="00000000">
      <w:pPr>
        <w:pStyle w:val="a3"/>
        <w:tabs>
          <w:tab w:val="left" w:pos="1650"/>
        </w:tabs>
        <w:ind w:left="235"/>
      </w:pPr>
      <w:r>
        <w:t>S.</w:t>
      </w:r>
      <w:r>
        <w:tab/>
        <w:t>Seite</w:t>
      </w:r>
    </w:p>
    <w:p w:rsidR="00CE76CD" w:rsidRDefault="00CE76CD">
      <w:pPr>
        <w:pStyle w:val="a3"/>
        <w:spacing w:before="4"/>
        <w:rPr>
          <w:sz w:val="22"/>
        </w:rPr>
      </w:pPr>
    </w:p>
    <w:p w:rsidR="00CE76CD" w:rsidRDefault="00000000">
      <w:pPr>
        <w:pStyle w:val="a3"/>
        <w:tabs>
          <w:tab w:val="left" w:pos="1650"/>
        </w:tabs>
        <w:ind w:left="235"/>
      </w:pPr>
      <w:r>
        <w:t>sog.</w:t>
      </w:r>
      <w:r>
        <w:tab/>
        <w:t>sogenannte/n</w:t>
      </w:r>
    </w:p>
    <w:p w:rsidR="00CE76CD" w:rsidRDefault="00CE76CD">
      <w:pPr>
        <w:pStyle w:val="a3"/>
        <w:spacing w:before="8"/>
        <w:rPr>
          <w:sz w:val="22"/>
        </w:rPr>
      </w:pPr>
    </w:p>
    <w:p w:rsidR="00CE76CD" w:rsidRDefault="00000000">
      <w:pPr>
        <w:pStyle w:val="a3"/>
        <w:tabs>
          <w:tab w:val="left" w:pos="1650"/>
        </w:tabs>
        <w:ind w:left="235"/>
      </w:pPr>
      <w:r>
        <w:t>StG</w:t>
      </w:r>
      <w:r>
        <w:tab/>
        <w:t>Stammzellengesetz</w:t>
      </w:r>
    </w:p>
    <w:p w:rsidR="00CE76CD" w:rsidRDefault="00CE76CD">
      <w:pPr>
        <w:pStyle w:val="a3"/>
        <w:spacing w:before="4"/>
        <w:rPr>
          <w:sz w:val="22"/>
        </w:rPr>
      </w:pPr>
    </w:p>
    <w:p w:rsidR="00CE76CD" w:rsidRDefault="00000000">
      <w:pPr>
        <w:pStyle w:val="a3"/>
        <w:tabs>
          <w:tab w:val="left" w:pos="1650"/>
        </w:tabs>
        <w:ind w:left="235"/>
      </w:pPr>
      <w:r>
        <w:t>Vgl.</w:t>
      </w:r>
      <w:r>
        <w:tab/>
        <w:t>Vergleiche</w:t>
      </w:r>
    </w:p>
    <w:p w:rsidR="00CE76CD" w:rsidRDefault="00CE76CD">
      <w:pPr>
        <w:sectPr w:rsidR="00CE76CD">
          <w:pgSz w:w="11910" w:h="16840"/>
          <w:pgMar w:top="1000" w:right="1180" w:bottom="280" w:left="1200" w:header="736" w:footer="0" w:gutter="0"/>
          <w:cols w:space="720"/>
        </w:sectPr>
      </w:pPr>
    </w:p>
    <w:p w:rsidR="00CE76CD" w:rsidRDefault="00CE76CD">
      <w:pPr>
        <w:pStyle w:val="a3"/>
        <w:spacing w:before="11"/>
        <w:rPr>
          <w:sz w:val="29"/>
        </w:rPr>
      </w:pPr>
    </w:p>
    <w:p w:rsidR="00CE76CD" w:rsidRDefault="00000000">
      <w:pPr>
        <w:pStyle w:val="a3"/>
        <w:tabs>
          <w:tab w:val="left" w:pos="1650"/>
        </w:tabs>
        <w:spacing w:before="90"/>
        <w:ind w:left="235"/>
      </w:pPr>
      <w:r>
        <w:t>WHO</w:t>
      </w:r>
      <w:r>
        <w:tab/>
        <w:t>World Health</w:t>
      </w:r>
      <w:r>
        <w:rPr>
          <w:spacing w:val="-1"/>
        </w:rPr>
        <w:t xml:space="preserve"> </w:t>
      </w:r>
      <w:r>
        <w:t>Organisation</w:t>
      </w:r>
    </w:p>
    <w:p w:rsidR="00CE76CD" w:rsidRDefault="00CE76CD">
      <w:pPr>
        <w:sectPr w:rsidR="00CE76CD">
          <w:pgSz w:w="11910" w:h="16840"/>
          <w:pgMar w:top="1000" w:right="1180" w:bottom="280" w:left="1200" w:header="736" w:footer="0" w:gutter="0"/>
          <w:cols w:space="720"/>
        </w:sectPr>
      </w:pPr>
    </w:p>
    <w:p w:rsidR="00CE76CD" w:rsidRDefault="00CE76CD">
      <w:pPr>
        <w:pStyle w:val="a3"/>
        <w:spacing w:before="10"/>
        <w:rPr>
          <w:sz w:val="29"/>
        </w:rPr>
      </w:pPr>
    </w:p>
    <w:p w:rsidR="00CE76CD" w:rsidRDefault="00000000">
      <w:pPr>
        <w:pStyle w:val="1"/>
      </w:pPr>
      <w:bookmarkStart w:id="2" w:name="_TOC_250010"/>
      <w:bookmarkEnd w:id="2"/>
      <w:r>
        <w:t>Abbildungsverzeichnis</w:t>
      </w:r>
    </w:p>
    <w:p w:rsidR="00CE76CD" w:rsidRDefault="00000000">
      <w:pPr>
        <w:pStyle w:val="a3"/>
        <w:tabs>
          <w:tab w:val="right" w:leader="dot" w:pos="9294"/>
        </w:tabs>
        <w:spacing w:before="286"/>
        <w:ind w:left="235"/>
      </w:pPr>
      <w:r>
        <w:t>Abbildung 1: Durchführung einer</w:t>
      </w:r>
      <w:r>
        <w:rPr>
          <w:spacing w:val="-2"/>
        </w:rPr>
        <w:t xml:space="preserve"> </w:t>
      </w:r>
      <w:r>
        <w:t>Präimplantationsdiagnostik</w:t>
      </w:r>
      <w:r>
        <w:rPr>
          <w:spacing w:val="-1"/>
        </w:rPr>
        <w:t xml:space="preserve"> </w:t>
      </w:r>
      <w:r>
        <w:t>(PID)</w:t>
      </w:r>
      <w:r>
        <w:tab/>
        <w:t>2</w:t>
      </w:r>
    </w:p>
    <w:p w:rsidR="00CE76CD" w:rsidRDefault="00000000">
      <w:pPr>
        <w:pStyle w:val="a3"/>
        <w:tabs>
          <w:tab w:val="right" w:leader="dot" w:pos="9294"/>
        </w:tabs>
        <w:spacing w:before="257"/>
        <w:ind w:left="235"/>
      </w:pPr>
      <w:r>
        <w:t>Abbildung 2: Arten</w:t>
      </w:r>
      <w:r>
        <w:rPr>
          <w:spacing w:val="-2"/>
        </w:rPr>
        <w:t xml:space="preserve"> </w:t>
      </w:r>
      <w:r>
        <w:t>von Stammzellen</w:t>
      </w:r>
      <w:r>
        <w:tab/>
        <w:t>5</w:t>
      </w:r>
    </w:p>
    <w:p w:rsidR="00CE76CD" w:rsidRDefault="00CE76CD">
      <w:pPr>
        <w:sectPr w:rsidR="00CE76CD">
          <w:pgSz w:w="11910" w:h="16840"/>
          <w:pgMar w:top="1000" w:right="1180" w:bottom="280" w:left="1200" w:header="736" w:footer="0" w:gutter="0"/>
          <w:cols w:space="720"/>
        </w:sectPr>
      </w:pPr>
    </w:p>
    <w:p w:rsidR="00CE76CD" w:rsidRDefault="00000000">
      <w:pPr>
        <w:pStyle w:val="1"/>
        <w:spacing w:before="430"/>
      </w:pPr>
      <w:r>
        <w:lastRenderedPageBreak/>
        <w:t>Tabellenverzeichnis</w:t>
      </w:r>
    </w:p>
    <w:p w:rsidR="00CE76CD" w:rsidRDefault="00000000">
      <w:pPr>
        <w:pStyle w:val="a3"/>
        <w:tabs>
          <w:tab w:val="left" w:leader="dot" w:pos="9174"/>
        </w:tabs>
        <w:spacing w:before="287"/>
        <w:ind w:left="235"/>
      </w:pPr>
      <w:r>
        <w:t>Tabelle 1: Vergleich der Sichtweise</w:t>
      </w:r>
      <w:r>
        <w:rPr>
          <w:spacing w:val="-11"/>
        </w:rPr>
        <w:t xml:space="preserve"> </w:t>
      </w:r>
      <w:r>
        <w:t>der</w:t>
      </w:r>
      <w:r>
        <w:rPr>
          <w:spacing w:val="-2"/>
        </w:rPr>
        <w:t xml:space="preserve"> </w:t>
      </w:r>
      <w:r>
        <w:t>Weltreligionen</w:t>
      </w:r>
      <w:r>
        <w:tab/>
        <w:t>8</w:t>
      </w:r>
    </w:p>
    <w:p w:rsidR="00CE76CD" w:rsidRDefault="00CE76CD">
      <w:pPr>
        <w:sectPr w:rsidR="00CE76CD">
          <w:pgSz w:w="11910" w:h="16840"/>
          <w:pgMar w:top="1000" w:right="1180" w:bottom="280" w:left="1200" w:header="736" w:footer="0" w:gutter="0"/>
          <w:cols w:space="720"/>
        </w:sectPr>
      </w:pPr>
    </w:p>
    <w:p w:rsidR="00CE76CD" w:rsidRDefault="00CE76CD">
      <w:pPr>
        <w:pStyle w:val="a3"/>
        <w:spacing w:before="5"/>
        <w:rPr>
          <w:sz w:val="37"/>
        </w:rPr>
      </w:pPr>
    </w:p>
    <w:p w:rsidR="00CE76CD" w:rsidRDefault="00000000">
      <w:pPr>
        <w:pStyle w:val="1"/>
        <w:numPr>
          <w:ilvl w:val="0"/>
          <w:numId w:val="1"/>
        </w:numPr>
        <w:tabs>
          <w:tab w:val="left" w:pos="446"/>
        </w:tabs>
        <w:spacing w:before="0"/>
        <w:ind w:hanging="211"/>
        <w:jc w:val="both"/>
      </w:pPr>
      <w:bookmarkStart w:id="3" w:name="_TOC_250009"/>
      <w:bookmarkEnd w:id="3"/>
      <w:r>
        <w:t>Einführung</w:t>
      </w:r>
    </w:p>
    <w:p w:rsidR="00CE76CD" w:rsidRDefault="00CE76CD">
      <w:pPr>
        <w:pStyle w:val="a3"/>
        <w:spacing w:before="10"/>
        <w:rPr>
          <w:b/>
        </w:rPr>
      </w:pPr>
    </w:p>
    <w:p w:rsidR="00CE76CD" w:rsidRDefault="00000000">
      <w:pPr>
        <w:pStyle w:val="a3"/>
        <w:spacing w:before="1" w:line="360" w:lineRule="auto"/>
        <w:ind w:left="235" w:right="218"/>
        <w:jc w:val="both"/>
      </w:pPr>
      <w:r>
        <w:t xml:space="preserve">Embryonenforschung ist aus verschiedenen Aspekten ein sowohl im wissenschaftlichen Kon- </w:t>
      </w:r>
      <w:proofErr w:type="spellStart"/>
      <w:r>
        <w:t>text</w:t>
      </w:r>
      <w:proofErr w:type="spellEnd"/>
      <w:r>
        <w:t>, als auch in der öffentlichen Diskussion immer wieder aktuelles Thema. Je nach Präsenz in den Medien, erfährt die Thematik in unterschiedlichen Wellenbewegungen Aufmerksam- keit.</w:t>
      </w:r>
      <w:r>
        <w:rPr>
          <w:vertAlign w:val="superscript"/>
        </w:rPr>
        <w:t>1</w:t>
      </w:r>
      <w:r>
        <w:t xml:space="preserve"> Die dann – oft jedoch nur kurzfristig, aber intensiv – folgende polarisierte Diskussion ist in ihrer deutlichen Gegensätzlichkeit darauf zurückzuführen, dass sich einerseits die Thematik aus vielfältigen Blickwinkeln betrachten lässt und sich andererseits gesellschaftliche Wertvor- </w:t>
      </w:r>
      <w:proofErr w:type="spellStart"/>
      <w:r>
        <w:t>stellungen</w:t>
      </w:r>
      <w:proofErr w:type="spellEnd"/>
      <w:r>
        <w:t xml:space="preserve"> häufig in solch emotionalen Fragestellungen zeigen. Kurzum: bei Fragen der </w:t>
      </w:r>
      <w:proofErr w:type="spellStart"/>
      <w:r>
        <w:t>Emb</w:t>
      </w:r>
      <w:proofErr w:type="spellEnd"/>
      <w:r>
        <w:t xml:space="preserve">- </w:t>
      </w:r>
      <w:proofErr w:type="spellStart"/>
      <w:r>
        <w:t>ryonenforschung</w:t>
      </w:r>
      <w:proofErr w:type="spellEnd"/>
      <w:r>
        <w:t xml:space="preserve"> treffen sehr unterschiedliche Auffassungen aufeinander und bei </w:t>
      </w:r>
      <w:proofErr w:type="spellStart"/>
      <w:r>
        <w:t>konsequen</w:t>
      </w:r>
      <w:proofErr w:type="spellEnd"/>
      <w:r>
        <w:t xml:space="preserve">- </w:t>
      </w:r>
      <w:proofErr w:type="spellStart"/>
      <w:r>
        <w:t>ter</w:t>
      </w:r>
      <w:proofErr w:type="spellEnd"/>
      <w:r>
        <w:t xml:space="preserve"> Einnahme einzelner Standpunkte lassen sich die Verfechter wie Gegner dieser auch häufig nicht oder nur in sehr langwierigen Prozessen vom Gegenteil überzeugen.</w:t>
      </w:r>
      <w:r>
        <w:rPr>
          <w:vertAlign w:val="superscript"/>
        </w:rPr>
        <w:t>2</w:t>
      </w:r>
    </w:p>
    <w:p w:rsidR="00CE76CD" w:rsidRDefault="00000000">
      <w:pPr>
        <w:pStyle w:val="a3"/>
        <w:spacing w:before="117" w:line="362" w:lineRule="auto"/>
        <w:ind w:left="235" w:right="218"/>
        <w:jc w:val="both"/>
      </w:pPr>
      <w:r>
        <w:t>Im Rahmen dieser Arbeit sollen – nach dieser Einleitung (Kapitel 1) – überblicksartig nach einer kurzen naturwissenschaftlichen Einordnung der Begriffe „Embryonenforschung“ und</w:t>
      </w:r>
    </w:p>
    <w:p w:rsidR="00CE76CD" w:rsidRDefault="00000000">
      <w:pPr>
        <w:pStyle w:val="a3"/>
        <w:spacing w:line="360" w:lineRule="auto"/>
        <w:ind w:left="235" w:right="218"/>
        <w:jc w:val="both"/>
      </w:pPr>
      <w:r>
        <w:t>„Stammzellenforschung“ (Kapitel 2) die zentralen Standpunkte aufgeführt werden, die es zur Embryonenforschung gibt (Kapitel 3). Die Arbeit schließt mit einem kurzen Fazit, das die Beantwortung der Forschungsfrage beinhaltet (Kapitel 4).</w:t>
      </w:r>
    </w:p>
    <w:p w:rsidR="00CE76CD" w:rsidRDefault="00000000">
      <w:pPr>
        <w:pStyle w:val="a3"/>
        <w:spacing w:before="119" w:line="360" w:lineRule="auto"/>
        <w:ind w:left="235" w:right="218"/>
        <w:jc w:val="both"/>
      </w:pPr>
      <w:r>
        <w:t>Zielsetzung der Arbeit ist es, die Diskussion um die Embryonenforschung zu versachlichen, indem die einzelnen Standpunkte präsentiert werden, ohne jedoch vorschnelle Bewertung vorzunehmen, was in der öffentlichen Diskussion häufig geschieht.</w:t>
      </w:r>
    </w:p>
    <w:p w:rsidR="00CE76CD" w:rsidRDefault="00000000">
      <w:pPr>
        <w:spacing w:before="116" w:line="360" w:lineRule="auto"/>
        <w:ind w:left="235" w:right="218"/>
        <w:jc w:val="both"/>
        <w:rPr>
          <w:sz w:val="24"/>
        </w:rPr>
      </w:pPr>
      <w:r>
        <w:rPr>
          <w:sz w:val="24"/>
        </w:rPr>
        <w:t xml:space="preserve">Die Forschungsfrage, die beantwortet werden soll, lautet vor diesem Hintergrund: Welche Aspekte (unterschiedliche Standpunkte) prägen die Diskussion um die Embryonenforschung und welche zentralen Sichtweisen aus </w:t>
      </w:r>
      <w:r>
        <w:rPr>
          <w:i/>
          <w:sz w:val="24"/>
        </w:rPr>
        <w:t xml:space="preserve">religiöser </w:t>
      </w:r>
      <w:r>
        <w:rPr>
          <w:sz w:val="24"/>
        </w:rPr>
        <w:t xml:space="preserve">und </w:t>
      </w:r>
      <w:r>
        <w:rPr>
          <w:i/>
          <w:sz w:val="24"/>
        </w:rPr>
        <w:t xml:space="preserve">gesellschaftspolitischer (ethisch- moralischer) </w:t>
      </w:r>
      <w:r>
        <w:rPr>
          <w:sz w:val="24"/>
        </w:rPr>
        <w:t xml:space="preserve">sowie </w:t>
      </w:r>
      <w:r>
        <w:rPr>
          <w:i/>
          <w:sz w:val="24"/>
        </w:rPr>
        <w:t xml:space="preserve">ökonomischer Sicht </w:t>
      </w:r>
      <w:r>
        <w:rPr>
          <w:sz w:val="24"/>
        </w:rPr>
        <w:t>zur Embryonenforschung sind zu erkennen?</w:t>
      </w: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5026E">
      <w:pPr>
        <w:pStyle w:val="a3"/>
        <w:spacing w:before="5"/>
      </w:pPr>
      <w:r>
        <w:pict>
          <v:rect id="_x0000_s2058" alt="" style="position:absolute;margin-left:71.75pt;margin-top:16.05pt;width:2in;height:.5pt;z-index:-15727616;mso-wrap-edited:f;mso-width-percent:0;mso-height-percent:0;mso-wrap-distance-left:0;mso-wrap-distance-right:0;mso-position-horizontal-relative:page;mso-width-percent:0;mso-height-percent:0" fillcolor="black" stroked="f">
            <w10:wrap type="topAndBottom" anchorx="page"/>
          </v:rect>
        </w:pict>
      </w:r>
    </w:p>
    <w:p w:rsidR="00CE76CD" w:rsidRDefault="00000000">
      <w:pPr>
        <w:spacing w:before="77"/>
        <w:ind w:left="235"/>
        <w:rPr>
          <w:sz w:val="20"/>
        </w:rPr>
      </w:pPr>
      <w:r>
        <w:rPr>
          <w:sz w:val="20"/>
          <w:vertAlign w:val="superscript"/>
        </w:rPr>
        <w:t>1</w:t>
      </w:r>
      <w:r>
        <w:rPr>
          <w:sz w:val="20"/>
        </w:rPr>
        <w:t xml:space="preserve"> Vgl. </w:t>
      </w:r>
      <w:proofErr w:type="spellStart"/>
      <w:r>
        <w:rPr>
          <w:sz w:val="20"/>
        </w:rPr>
        <w:t>Przyłuska-Fiszer</w:t>
      </w:r>
      <w:proofErr w:type="spellEnd"/>
      <w:r>
        <w:rPr>
          <w:sz w:val="20"/>
        </w:rPr>
        <w:t>, 2005, S. 55 f.</w:t>
      </w:r>
    </w:p>
    <w:p w:rsidR="00CE76CD" w:rsidRDefault="00000000">
      <w:pPr>
        <w:ind w:left="235"/>
        <w:rPr>
          <w:sz w:val="20"/>
        </w:rPr>
      </w:pPr>
      <w:r>
        <w:rPr>
          <w:sz w:val="20"/>
          <w:vertAlign w:val="superscript"/>
        </w:rPr>
        <w:t>2</w:t>
      </w:r>
      <w:r>
        <w:rPr>
          <w:sz w:val="20"/>
        </w:rPr>
        <w:t xml:space="preserve"> Vgl. </w:t>
      </w:r>
      <w:proofErr w:type="spellStart"/>
      <w:r>
        <w:rPr>
          <w:sz w:val="20"/>
        </w:rPr>
        <w:t>Minwegen</w:t>
      </w:r>
      <w:proofErr w:type="spellEnd"/>
      <w:r>
        <w:rPr>
          <w:sz w:val="20"/>
        </w:rPr>
        <w:t xml:space="preserve">, 2006, S. 513-531; </w:t>
      </w:r>
      <w:proofErr w:type="spellStart"/>
      <w:r>
        <w:rPr>
          <w:sz w:val="20"/>
        </w:rPr>
        <w:t>Przyłuska-Fiszer</w:t>
      </w:r>
      <w:proofErr w:type="spellEnd"/>
      <w:r>
        <w:rPr>
          <w:sz w:val="20"/>
        </w:rPr>
        <w:t>, 2005, S. 55 ff.</w:t>
      </w:r>
    </w:p>
    <w:p w:rsidR="00CE76CD" w:rsidRDefault="00CE76CD">
      <w:pPr>
        <w:rPr>
          <w:sz w:val="20"/>
        </w:rPr>
        <w:sectPr w:rsidR="00CE76CD">
          <w:headerReference w:type="default" r:id="rId10"/>
          <w:pgSz w:w="11910" w:h="16840"/>
          <w:pgMar w:top="1000" w:right="1180" w:bottom="280" w:left="1200" w:header="736" w:footer="0" w:gutter="0"/>
          <w:pgNumType w:start="1"/>
          <w:cols w:space="720"/>
        </w:sectPr>
      </w:pPr>
    </w:p>
    <w:p w:rsidR="00CE76CD" w:rsidRDefault="00CE76CD">
      <w:pPr>
        <w:pStyle w:val="a3"/>
        <w:spacing w:before="10"/>
        <w:rPr>
          <w:sz w:val="29"/>
        </w:rPr>
      </w:pPr>
    </w:p>
    <w:p w:rsidR="00CE76CD" w:rsidRDefault="00000000">
      <w:pPr>
        <w:pStyle w:val="1"/>
        <w:numPr>
          <w:ilvl w:val="0"/>
          <w:numId w:val="1"/>
        </w:numPr>
        <w:tabs>
          <w:tab w:val="left" w:pos="445"/>
        </w:tabs>
        <w:ind w:left="444"/>
        <w:jc w:val="both"/>
      </w:pPr>
      <w:bookmarkStart w:id="4" w:name="_TOC_250008"/>
      <w:r>
        <w:t>Naturwissenschaftliche</w:t>
      </w:r>
      <w:r>
        <w:rPr>
          <w:spacing w:val="-1"/>
        </w:rPr>
        <w:t xml:space="preserve"> </w:t>
      </w:r>
      <w:bookmarkEnd w:id="4"/>
      <w:r>
        <w:t>Grundlagen</w:t>
      </w:r>
    </w:p>
    <w:p w:rsidR="00CE76CD" w:rsidRDefault="00CE76CD">
      <w:pPr>
        <w:pStyle w:val="a3"/>
        <w:spacing w:before="11"/>
        <w:rPr>
          <w:b/>
        </w:rPr>
      </w:pPr>
    </w:p>
    <w:p w:rsidR="00CE76CD" w:rsidRDefault="00000000">
      <w:pPr>
        <w:pStyle w:val="2"/>
        <w:numPr>
          <w:ilvl w:val="1"/>
          <w:numId w:val="1"/>
        </w:numPr>
        <w:tabs>
          <w:tab w:val="left" w:pos="625"/>
        </w:tabs>
      </w:pPr>
      <w:bookmarkStart w:id="5" w:name="_TOC_250007"/>
      <w:bookmarkEnd w:id="5"/>
      <w:r>
        <w:t>Embryonenforschung</w:t>
      </w:r>
    </w:p>
    <w:p w:rsidR="00CE76CD" w:rsidRDefault="00CE76CD">
      <w:pPr>
        <w:pStyle w:val="a3"/>
        <w:spacing w:before="2"/>
        <w:rPr>
          <w:b/>
          <w:sz w:val="23"/>
        </w:rPr>
      </w:pPr>
    </w:p>
    <w:p w:rsidR="00CE76CD" w:rsidRDefault="00000000">
      <w:pPr>
        <w:pStyle w:val="a3"/>
        <w:spacing w:line="360" w:lineRule="auto"/>
        <w:ind w:left="235" w:right="218"/>
        <w:jc w:val="both"/>
      </w:pPr>
      <w:r>
        <w:t xml:space="preserve">Unter Embryonenforschung versteht die Literatur eine wissenschaftliche Untersuchung mit und an – i.d.R. künstlich erzeugten – Embryonen. Moderne Techniken der </w:t>
      </w:r>
      <w:proofErr w:type="spellStart"/>
      <w:r>
        <w:t>Reproduktionsme</w:t>
      </w:r>
      <w:proofErr w:type="spellEnd"/>
      <w:r>
        <w:t xml:space="preserve">- </w:t>
      </w:r>
      <w:proofErr w:type="spellStart"/>
      <w:r>
        <w:t>dizin</w:t>
      </w:r>
      <w:proofErr w:type="spellEnd"/>
      <w:r>
        <w:t xml:space="preserve"> erlauben bereits seit 1978 die Herstellung von überzähligen Embryonen zu anderen Zwecken als der künstlichen Befruchtung. Nach der sog. „14-Tage-Regel“, die ihre </w:t>
      </w:r>
      <w:proofErr w:type="spellStart"/>
      <w:r>
        <w:t>Anwen</w:t>
      </w:r>
      <w:proofErr w:type="spellEnd"/>
      <w:r>
        <w:t xml:space="preserve">- </w:t>
      </w:r>
      <w:proofErr w:type="spellStart"/>
      <w:r>
        <w:t>dung</w:t>
      </w:r>
      <w:proofErr w:type="spellEnd"/>
      <w:r>
        <w:t xml:space="preserve"> in Deutschland findet, dürfen Embryonen maximal diese Zeit außerhalb des </w:t>
      </w:r>
      <w:proofErr w:type="spellStart"/>
      <w:r>
        <w:t>menschli</w:t>
      </w:r>
      <w:proofErr w:type="spellEnd"/>
      <w:r>
        <w:t xml:space="preserve">- </w:t>
      </w:r>
      <w:proofErr w:type="spellStart"/>
      <w:r>
        <w:t>chen</w:t>
      </w:r>
      <w:proofErr w:type="spellEnd"/>
      <w:r>
        <w:t xml:space="preserve"> Körpers im Labor wachsen.</w:t>
      </w:r>
      <w:r>
        <w:rPr>
          <w:vertAlign w:val="superscript"/>
        </w:rPr>
        <w:t>3</w:t>
      </w:r>
      <w:r>
        <w:t xml:space="preserve"> Dabei existieren unterschiedliche rechtliche Regelungen. So dürfen z.B. in Deutschland Embryonen nur im Rahmen einer künstlichen Befruchtung erzeugt werden, eine „reine“ Embryonenforschung ist verboten (§ 8 Embryonenschutzgesetz (</w:t>
      </w:r>
      <w:proofErr w:type="spellStart"/>
      <w:r>
        <w:t>EMSchG</w:t>
      </w:r>
      <w:proofErr w:type="spellEnd"/>
      <w:r>
        <w:t>)).</w:t>
      </w:r>
      <w:r>
        <w:rPr>
          <w:vertAlign w:val="superscript"/>
        </w:rPr>
        <w:t>4</w:t>
      </w:r>
      <w:r>
        <w:t xml:space="preserve"> Wie solch einen künstliche Befruchtung (sog. Präimplantationsdiagnostik (PID)) ablaufen kann, wird in der nachfolgenden Abbildung in der Übersicht</w:t>
      </w:r>
      <w:r>
        <w:rPr>
          <w:spacing w:val="-9"/>
        </w:rPr>
        <w:t xml:space="preserve"> </w:t>
      </w:r>
      <w:r>
        <w:t>gezeigt.</w:t>
      </w:r>
    </w:p>
    <w:p w:rsidR="00CE76CD" w:rsidRDefault="00000000">
      <w:pPr>
        <w:pStyle w:val="a3"/>
        <w:spacing w:before="4"/>
        <w:rPr>
          <w:sz w:val="17"/>
        </w:rPr>
      </w:pPr>
      <w:r>
        <w:rPr>
          <w:noProof/>
        </w:rPr>
        <w:drawing>
          <wp:anchor distT="0" distB="0" distL="0" distR="0" simplePos="0" relativeHeight="3" behindDoc="0" locked="0" layoutInCell="1" allowOverlap="1">
            <wp:simplePos x="0" y="0"/>
            <wp:positionH relativeFrom="page">
              <wp:posOffset>1080496</wp:posOffset>
            </wp:positionH>
            <wp:positionV relativeFrom="paragraph">
              <wp:posOffset>152053</wp:posOffset>
            </wp:positionV>
            <wp:extent cx="3264322" cy="3054096"/>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3264322" cy="3054096"/>
                    </a:xfrm>
                    <a:prstGeom prst="rect">
                      <a:avLst/>
                    </a:prstGeom>
                  </pic:spPr>
                </pic:pic>
              </a:graphicData>
            </a:graphic>
          </wp:anchor>
        </w:drawing>
      </w:r>
    </w:p>
    <w:p w:rsidR="00CE76CD" w:rsidRDefault="00CE76CD">
      <w:pPr>
        <w:pStyle w:val="a3"/>
        <w:spacing w:before="8"/>
        <w:rPr>
          <w:sz w:val="33"/>
        </w:rPr>
      </w:pPr>
    </w:p>
    <w:p w:rsidR="00CE76CD" w:rsidRDefault="00000000">
      <w:pPr>
        <w:pStyle w:val="a3"/>
        <w:spacing w:line="463" w:lineRule="auto"/>
        <w:ind w:left="235" w:right="2749"/>
      </w:pPr>
      <w:r>
        <w:t xml:space="preserve">Abbildung 1: Durchführung einer Präimplantationsdiagnostik (PID) Quelle: </w:t>
      </w:r>
      <w:proofErr w:type="spellStart"/>
      <w:r>
        <w:t>Clinica</w:t>
      </w:r>
      <w:proofErr w:type="spellEnd"/>
      <w:r>
        <w:t xml:space="preserve"> Eugen (Hrsg.), 2018, </w:t>
      </w:r>
      <w:proofErr w:type="spellStart"/>
      <w:r>
        <w:t>o.S</w:t>
      </w:r>
      <w:proofErr w:type="spellEnd"/>
      <w:r>
        <w:t>.</w:t>
      </w:r>
    </w:p>
    <w:p w:rsidR="00CE76CD" w:rsidRDefault="00000000">
      <w:pPr>
        <w:pStyle w:val="a3"/>
        <w:spacing w:line="362" w:lineRule="auto"/>
        <w:ind w:left="235"/>
      </w:pPr>
      <w:r>
        <w:t>Die Abbildung macht deutlich, welche Zellen und in welcher Form sie eine Implementierung erfahren dürfen.</w:t>
      </w:r>
    </w:p>
    <w:p w:rsidR="00CE76CD" w:rsidRDefault="00C5026E">
      <w:pPr>
        <w:pStyle w:val="a3"/>
        <w:spacing w:before="11"/>
        <w:rPr>
          <w:sz w:val="17"/>
        </w:rPr>
      </w:pPr>
      <w:r>
        <w:pict>
          <v:rect id="_x0000_s2057" alt="" style="position:absolute;margin-left:71.75pt;margin-top:12.3pt;width:2in;height:.5pt;z-index:-15726592;mso-wrap-edited:f;mso-width-percent:0;mso-height-percent:0;mso-wrap-distance-left:0;mso-wrap-distance-right:0;mso-position-horizontal-relative:page;mso-width-percent:0;mso-height-percent:0" fillcolor="black" stroked="f">
            <w10:wrap type="topAndBottom" anchorx="page"/>
          </v:rect>
        </w:pict>
      </w:r>
    </w:p>
    <w:p w:rsidR="00CE76CD" w:rsidRDefault="00000000">
      <w:pPr>
        <w:spacing w:before="77"/>
        <w:ind w:left="235"/>
        <w:rPr>
          <w:sz w:val="20"/>
        </w:rPr>
      </w:pPr>
      <w:r>
        <w:rPr>
          <w:sz w:val="20"/>
          <w:vertAlign w:val="superscript"/>
        </w:rPr>
        <w:t>3</w:t>
      </w:r>
      <w:r>
        <w:rPr>
          <w:sz w:val="20"/>
        </w:rPr>
        <w:t xml:space="preserve"> Vgl. McQueen, Walsh, 2002, S. 120-128</w:t>
      </w:r>
    </w:p>
    <w:p w:rsidR="00CE76CD" w:rsidRDefault="00000000">
      <w:pPr>
        <w:ind w:left="235"/>
        <w:rPr>
          <w:sz w:val="20"/>
        </w:rPr>
      </w:pPr>
      <w:r>
        <w:rPr>
          <w:sz w:val="20"/>
          <w:vertAlign w:val="superscript"/>
        </w:rPr>
        <w:t>4</w:t>
      </w:r>
      <w:r>
        <w:rPr>
          <w:sz w:val="20"/>
        </w:rPr>
        <w:t xml:space="preserve"> Vgl. </w:t>
      </w:r>
      <w:proofErr w:type="spellStart"/>
      <w:r>
        <w:rPr>
          <w:sz w:val="20"/>
        </w:rPr>
        <w:t>Minwegen</w:t>
      </w:r>
      <w:proofErr w:type="spellEnd"/>
      <w:r>
        <w:rPr>
          <w:sz w:val="20"/>
        </w:rPr>
        <w:t xml:space="preserve">, 2006, S. 513-531; Henn, 2002, S. 517-524; Guild, </w:t>
      </w:r>
      <w:proofErr w:type="spellStart"/>
      <w:r>
        <w:rPr>
          <w:sz w:val="20"/>
        </w:rPr>
        <w:t>Finer</w:t>
      </w:r>
      <w:proofErr w:type="spellEnd"/>
      <w:r>
        <w:rPr>
          <w:sz w:val="20"/>
        </w:rPr>
        <w:t>, Housman, Mulligan, 1988, S. 3795-</w:t>
      </w:r>
    </w:p>
    <w:p w:rsidR="00CE76CD" w:rsidRDefault="00000000">
      <w:pPr>
        <w:spacing w:before="1"/>
        <w:ind w:left="235"/>
        <w:rPr>
          <w:sz w:val="20"/>
        </w:rPr>
      </w:pPr>
      <w:r>
        <w:rPr>
          <w:sz w:val="20"/>
        </w:rPr>
        <w:t>3801</w:t>
      </w:r>
    </w:p>
    <w:p w:rsidR="00CE76CD" w:rsidRDefault="00CE76CD">
      <w:pPr>
        <w:rPr>
          <w:sz w:val="20"/>
        </w:rPr>
        <w:sectPr w:rsidR="00CE76CD">
          <w:pgSz w:w="11910" w:h="16840"/>
          <w:pgMar w:top="1000" w:right="1180" w:bottom="280" w:left="1200" w:header="736" w:footer="0" w:gutter="0"/>
          <w:cols w:space="720"/>
        </w:sectPr>
      </w:pPr>
    </w:p>
    <w:p w:rsidR="00CE76CD" w:rsidRDefault="00CE76CD">
      <w:pPr>
        <w:pStyle w:val="a3"/>
        <w:spacing w:before="11"/>
        <w:rPr>
          <w:sz w:val="29"/>
        </w:rPr>
      </w:pPr>
    </w:p>
    <w:p w:rsidR="00CE76CD" w:rsidRDefault="00000000">
      <w:pPr>
        <w:pStyle w:val="a3"/>
        <w:spacing w:before="90" w:line="360" w:lineRule="auto"/>
        <w:ind w:left="235" w:right="218"/>
        <w:jc w:val="both"/>
      </w:pPr>
      <w:r>
        <w:t xml:space="preserve">Dies wird u.a. darauf zurückgeführt, weil menschliches Leben mit der Verschmelzung der sog. </w:t>
      </w:r>
      <w:proofErr w:type="spellStart"/>
      <w:r>
        <w:t>Vorkerne</w:t>
      </w:r>
      <w:proofErr w:type="spellEnd"/>
      <w:r>
        <w:t xml:space="preserve"> entstehe und dann auch der ethische Schutz beginne.</w:t>
      </w:r>
      <w:r>
        <w:rPr>
          <w:vertAlign w:val="superscript"/>
        </w:rPr>
        <w:t>5</w:t>
      </w:r>
      <w:r>
        <w:t xml:space="preserve"> So lange sich der </w:t>
      </w:r>
      <w:proofErr w:type="spellStart"/>
      <w:r>
        <w:t>Orga</w:t>
      </w:r>
      <w:proofErr w:type="spellEnd"/>
      <w:r>
        <w:t xml:space="preserve">- </w:t>
      </w:r>
      <w:proofErr w:type="spellStart"/>
      <w:r>
        <w:t>nismus</w:t>
      </w:r>
      <w:proofErr w:type="spellEnd"/>
      <w:r>
        <w:t xml:space="preserve"> allerdings noch in der Eihülle befindet, ist es ein Embryo, der selbst nicht ethisch schutzpflichtig und schutzbedürftig</w:t>
      </w:r>
      <w:r>
        <w:rPr>
          <w:spacing w:val="-1"/>
        </w:rPr>
        <w:t xml:space="preserve"> </w:t>
      </w:r>
      <w:r>
        <w:t>ist.</w:t>
      </w:r>
      <w:r>
        <w:rPr>
          <w:vertAlign w:val="superscript"/>
        </w:rPr>
        <w:t>6</w:t>
      </w:r>
    </w:p>
    <w:p w:rsidR="00CE76CD" w:rsidRDefault="00000000">
      <w:pPr>
        <w:pStyle w:val="a3"/>
        <w:spacing w:before="120" w:line="360" w:lineRule="auto"/>
        <w:ind w:left="235" w:right="219"/>
        <w:jc w:val="both"/>
      </w:pPr>
      <w:r>
        <w:t>Demnach wird der Begriff „Embryo“ für die ersten Entwicklungsstadien bis zum Abschluss der Organogenese nach dem zweiten Schwangerschaftsmonat verwandt. Danach ist die Rede vom sog. „Fötus“.</w:t>
      </w:r>
      <w:r>
        <w:rPr>
          <w:vertAlign w:val="superscript"/>
        </w:rPr>
        <w:t>7</w:t>
      </w:r>
    </w:p>
    <w:p w:rsidR="00CE76CD" w:rsidRDefault="00000000">
      <w:pPr>
        <w:pStyle w:val="a3"/>
        <w:spacing w:before="121" w:line="360" w:lineRule="auto"/>
        <w:ind w:left="235" w:right="218"/>
        <w:jc w:val="both"/>
      </w:pPr>
      <w:r>
        <w:t xml:space="preserve">Aus biologischer Sicht entsteht ein Embryo sobald ein Genom sich entwickelt – dies durch die Verschmelzung der </w:t>
      </w:r>
      <w:proofErr w:type="spellStart"/>
      <w:r>
        <w:t>Vorkerne</w:t>
      </w:r>
      <w:proofErr w:type="spellEnd"/>
      <w:r>
        <w:t>. Danach beginnt auch das menschliche Leben zu diesem Zeitpunkt und hier setzt dann auch der ethische Schutz</w:t>
      </w:r>
      <w:r>
        <w:rPr>
          <w:spacing w:val="-6"/>
        </w:rPr>
        <w:t xml:space="preserve"> </w:t>
      </w:r>
      <w:r>
        <w:t>ein.</w:t>
      </w:r>
      <w:r>
        <w:rPr>
          <w:vertAlign w:val="superscript"/>
        </w:rPr>
        <w:t>8</w:t>
      </w:r>
    </w:p>
    <w:p w:rsidR="00CE76CD" w:rsidRDefault="00000000">
      <w:pPr>
        <w:pStyle w:val="2"/>
        <w:numPr>
          <w:ilvl w:val="1"/>
          <w:numId w:val="1"/>
        </w:numPr>
        <w:tabs>
          <w:tab w:val="left" w:pos="625"/>
        </w:tabs>
        <w:spacing w:before="122"/>
        <w:jc w:val="both"/>
      </w:pPr>
      <w:bookmarkStart w:id="6" w:name="_TOC_250006"/>
      <w:bookmarkEnd w:id="6"/>
      <w:r>
        <w:t>Stammzellenforschung</w:t>
      </w:r>
    </w:p>
    <w:p w:rsidR="00CE76CD" w:rsidRDefault="00CE76CD">
      <w:pPr>
        <w:pStyle w:val="a3"/>
        <w:spacing w:before="2"/>
        <w:rPr>
          <w:b/>
          <w:sz w:val="23"/>
        </w:rPr>
      </w:pPr>
    </w:p>
    <w:p w:rsidR="00CE76CD" w:rsidRDefault="00000000">
      <w:pPr>
        <w:pStyle w:val="a3"/>
        <w:spacing w:line="360" w:lineRule="auto"/>
        <w:ind w:left="235" w:right="218"/>
        <w:jc w:val="both"/>
      </w:pPr>
      <w:r>
        <w:t xml:space="preserve">Stammzellen werden als Gruppe von Zellen verstanden, die (a) Vorläufer von hoch </w:t>
      </w:r>
      <w:proofErr w:type="spellStart"/>
      <w:r>
        <w:t>differen</w:t>
      </w:r>
      <w:proofErr w:type="spellEnd"/>
      <w:r>
        <w:t xml:space="preserve">- zierten Zellen sind und (b) nach einer Teilung entweder wieder zu Stammzellen werden oder sich gewebespezifisch weiterentwickeln. Dabei können Stammzellen entweder </w:t>
      </w:r>
      <w:r>
        <w:rPr>
          <w:i/>
        </w:rPr>
        <w:t xml:space="preserve">nach ihrer Potentialität </w:t>
      </w:r>
      <w:r>
        <w:t xml:space="preserve">oder </w:t>
      </w:r>
      <w:r>
        <w:rPr>
          <w:i/>
        </w:rPr>
        <w:t xml:space="preserve">nach der Art ihrer Gewinnung </w:t>
      </w:r>
      <w:r>
        <w:t xml:space="preserve">unterschieden werden. Gebräuchlich ist da- bei die Unterscheidung </w:t>
      </w:r>
      <w:r>
        <w:rPr>
          <w:i/>
        </w:rPr>
        <w:t xml:space="preserve">nach der Art ihrer Gewinnung </w:t>
      </w:r>
      <w:r>
        <w:t>in „</w:t>
      </w:r>
      <w:proofErr w:type="spellStart"/>
      <w:r>
        <w:t>Embryonic</w:t>
      </w:r>
      <w:proofErr w:type="spellEnd"/>
      <w:r>
        <w:t xml:space="preserve"> </w:t>
      </w:r>
      <w:proofErr w:type="spellStart"/>
      <w:r>
        <w:t>Carinoma</w:t>
      </w:r>
      <w:proofErr w:type="spellEnd"/>
      <w:r>
        <w:t xml:space="preserve"> Cells“ (EC- Zellen), „</w:t>
      </w:r>
      <w:proofErr w:type="spellStart"/>
      <w:r>
        <w:t>Embryonic</w:t>
      </w:r>
      <w:proofErr w:type="spellEnd"/>
      <w:r>
        <w:t xml:space="preserve"> Germ Cells“ (EG-Zellen) und „</w:t>
      </w:r>
      <w:proofErr w:type="spellStart"/>
      <w:r>
        <w:t>Embryonic</w:t>
      </w:r>
      <w:proofErr w:type="spellEnd"/>
      <w:r>
        <w:t xml:space="preserve"> </w:t>
      </w:r>
      <w:proofErr w:type="spellStart"/>
      <w:r>
        <w:t>Stem</w:t>
      </w:r>
      <w:proofErr w:type="spellEnd"/>
      <w:r>
        <w:t xml:space="preserve"> Cells“ (ES-Zellen).</w:t>
      </w:r>
      <w:r>
        <w:rPr>
          <w:vertAlign w:val="superscript"/>
        </w:rPr>
        <w:t>9</w:t>
      </w:r>
      <w:r>
        <w:t xml:space="preserve"> Auf die Unterscheidung nach der Potentialität soll hier nicht eingegangen werden, da dies nicht Gegenstand der vorliegenden Arbeit</w:t>
      </w:r>
      <w:r>
        <w:rPr>
          <w:spacing w:val="-2"/>
        </w:rPr>
        <w:t xml:space="preserve"> </w:t>
      </w:r>
      <w:r>
        <w:t>ist.</w:t>
      </w:r>
    </w:p>
    <w:p w:rsidR="00CE76CD" w:rsidRDefault="00000000">
      <w:pPr>
        <w:pStyle w:val="a3"/>
        <w:spacing w:before="121" w:line="360" w:lineRule="auto"/>
        <w:ind w:left="235" w:right="218"/>
        <w:jc w:val="both"/>
      </w:pPr>
      <w:r>
        <w:t xml:space="preserve">Um embryonale Stammzellen zu gewinnen und an bzw. mit diesen forschen zu können, muss zunächst ein Embryo zerstört werden; dies wird als sog. „verbrauchende </w:t>
      </w:r>
      <w:proofErr w:type="spellStart"/>
      <w:r>
        <w:t>Embryonenfor</w:t>
      </w:r>
      <w:proofErr w:type="spellEnd"/>
      <w:r>
        <w:t xml:space="preserve">- </w:t>
      </w:r>
      <w:proofErr w:type="spellStart"/>
      <w:r>
        <w:t>schung</w:t>
      </w:r>
      <w:proofErr w:type="spellEnd"/>
      <w:r>
        <w:t>“ bezeichnet. Gerade hier setzt vielfach die Kritik an: „Die Gewinnung von ES-Zellen aus Blastozysten, bei der der frühe Embryo zerstört wird, ist ethisch besonders umstritten. Für ES-Zellen konnten die folgenden Eigenschaften nachgewiesen werden: ES Zellen sind in Zellkultur unbegrenzt teilungsfähig. Ihre Chromosomenzahl bleibt stabil. Sie besitzen die Fähigkeit, unter geeigneten Bedingungen alle Gewebe des Körpers zu bilden (</w:t>
      </w:r>
      <w:proofErr w:type="spellStart"/>
      <w:r>
        <w:rPr>
          <w:u w:val="single"/>
        </w:rPr>
        <w:t>Pluripotenz</w:t>
      </w:r>
      <w:proofErr w:type="spellEnd"/>
      <w:r>
        <w:t>).“</w:t>
      </w:r>
      <w:r>
        <w:rPr>
          <w:vertAlign w:val="superscript"/>
        </w:rPr>
        <w:t>10</w:t>
      </w:r>
    </w:p>
    <w:p w:rsidR="00CE76CD" w:rsidRDefault="00CE76CD">
      <w:pPr>
        <w:pStyle w:val="a3"/>
        <w:rPr>
          <w:sz w:val="20"/>
        </w:rPr>
      </w:pPr>
    </w:p>
    <w:p w:rsidR="00CE76CD" w:rsidRDefault="00C5026E">
      <w:pPr>
        <w:pStyle w:val="a3"/>
        <w:spacing w:before="8"/>
        <w:rPr>
          <w:sz w:val="28"/>
        </w:rPr>
      </w:pPr>
      <w:r>
        <w:pict>
          <v:rect id="_x0000_s2056" alt="" style="position:absolute;margin-left:71.75pt;margin-top:18.5pt;width:2in;height:.5pt;z-index:-15726080;mso-wrap-edited:f;mso-width-percent:0;mso-height-percent:0;mso-wrap-distance-left:0;mso-wrap-distance-right:0;mso-position-horizontal-relative:page;mso-width-percent:0;mso-height-percent:0" fillcolor="black" stroked="f">
            <w10:wrap type="topAndBottom" anchorx="page"/>
          </v:rect>
        </w:pict>
      </w:r>
    </w:p>
    <w:p w:rsidR="00CE76CD" w:rsidRDefault="00000000">
      <w:pPr>
        <w:spacing w:before="82" w:line="228" w:lineRule="exact"/>
        <w:ind w:left="235"/>
        <w:rPr>
          <w:sz w:val="20"/>
        </w:rPr>
      </w:pPr>
      <w:r>
        <w:rPr>
          <w:sz w:val="20"/>
          <w:vertAlign w:val="superscript"/>
        </w:rPr>
        <w:t>5</w:t>
      </w:r>
      <w:r>
        <w:rPr>
          <w:sz w:val="20"/>
        </w:rPr>
        <w:t xml:space="preserve"> Vgl. </w:t>
      </w:r>
      <w:proofErr w:type="spellStart"/>
      <w:r>
        <w:rPr>
          <w:sz w:val="20"/>
        </w:rPr>
        <w:t>Minwegen</w:t>
      </w:r>
      <w:proofErr w:type="spellEnd"/>
      <w:r>
        <w:rPr>
          <w:sz w:val="20"/>
        </w:rPr>
        <w:t>, 2006, S. 513-531</w:t>
      </w:r>
    </w:p>
    <w:p w:rsidR="00CE76CD" w:rsidRDefault="00000000">
      <w:pPr>
        <w:spacing w:line="228" w:lineRule="exact"/>
        <w:ind w:left="235"/>
        <w:rPr>
          <w:sz w:val="20"/>
        </w:rPr>
      </w:pPr>
      <w:r>
        <w:rPr>
          <w:sz w:val="20"/>
          <w:vertAlign w:val="superscript"/>
        </w:rPr>
        <w:t>6</w:t>
      </w:r>
      <w:r>
        <w:rPr>
          <w:sz w:val="20"/>
        </w:rPr>
        <w:t xml:space="preserve"> Vgl. Die Zeit (Hrsg.), 2016, </w:t>
      </w:r>
      <w:proofErr w:type="spellStart"/>
      <w:r>
        <w:rPr>
          <w:sz w:val="20"/>
        </w:rPr>
        <w:t>o.S</w:t>
      </w:r>
      <w:proofErr w:type="spellEnd"/>
      <w:r>
        <w:rPr>
          <w:sz w:val="20"/>
        </w:rPr>
        <w:t>.</w:t>
      </w:r>
    </w:p>
    <w:p w:rsidR="00CE76CD" w:rsidRDefault="00000000">
      <w:pPr>
        <w:ind w:left="235" w:right="219"/>
        <w:rPr>
          <w:sz w:val="20"/>
        </w:rPr>
      </w:pPr>
      <w:r>
        <w:rPr>
          <w:sz w:val="20"/>
          <w:vertAlign w:val="superscript"/>
        </w:rPr>
        <w:t>7</w:t>
      </w:r>
      <w:r>
        <w:rPr>
          <w:sz w:val="20"/>
        </w:rPr>
        <w:t xml:space="preserve"> Vgl. Berlin Brandenburgische Akademie der Wissenschaften (Hrsg.), Neue Wege der Stammzellforschung 2009, S. 7</w:t>
      </w:r>
    </w:p>
    <w:p w:rsidR="00CE76CD" w:rsidRDefault="00000000">
      <w:pPr>
        <w:spacing w:before="1"/>
        <w:ind w:left="235"/>
        <w:rPr>
          <w:sz w:val="20"/>
        </w:rPr>
      </w:pPr>
      <w:r>
        <w:rPr>
          <w:sz w:val="20"/>
          <w:vertAlign w:val="superscript"/>
        </w:rPr>
        <w:t>8</w:t>
      </w:r>
      <w:r>
        <w:rPr>
          <w:sz w:val="20"/>
        </w:rPr>
        <w:t xml:space="preserve"> Vgl. </w:t>
      </w:r>
      <w:proofErr w:type="spellStart"/>
      <w:r>
        <w:rPr>
          <w:sz w:val="20"/>
        </w:rPr>
        <w:t>Minwegen</w:t>
      </w:r>
      <w:proofErr w:type="spellEnd"/>
      <w:r>
        <w:rPr>
          <w:sz w:val="20"/>
        </w:rPr>
        <w:t>, 2006, S. 513-531</w:t>
      </w:r>
    </w:p>
    <w:p w:rsidR="00CE76CD" w:rsidRDefault="00000000">
      <w:pPr>
        <w:ind w:left="235"/>
        <w:rPr>
          <w:sz w:val="20"/>
        </w:rPr>
      </w:pPr>
      <w:r>
        <w:rPr>
          <w:sz w:val="20"/>
          <w:vertAlign w:val="superscript"/>
        </w:rPr>
        <w:t>9</w:t>
      </w:r>
      <w:r>
        <w:rPr>
          <w:sz w:val="20"/>
        </w:rPr>
        <w:t xml:space="preserve"> Vgl. Deutsches Referenzzentrum für Ethik in der Biowissenschaft (DRZE) (Hrsg.), 2017, </w:t>
      </w:r>
      <w:proofErr w:type="spellStart"/>
      <w:r>
        <w:rPr>
          <w:sz w:val="20"/>
        </w:rPr>
        <w:t>o.S</w:t>
      </w:r>
      <w:proofErr w:type="spellEnd"/>
      <w:r>
        <w:rPr>
          <w:sz w:val="20"/>
        </w:rPr>
        <w:t>.</w:t>
      </w:r>
    </w:p>
    <w:p w:rsidR="00CE76CD" w:rsidRDefault="00000000">
      <w:pPr>
        <w:spacing w:before="1"/>
        <w:ind w:left="235"/>
        <w:rPr>
          <w:sz w:val="20"/>
        </w:rPr>
      </w:pPr>
      <w:r>
        <w:rPr>
          <w:sz w:val="20"/>
          <w:vertAlign w:val="superscript"/>
        </w:rPr>
        <w:t>10</w:t>
      </w:r>
      <w:r>
        <w:rPr>
          <w:sz w:val="20"/>
        </w:rPr>
        <w:t xml:space="preserve"> Deutsches Referenzzentrum für Ethik in der Biowissenschaft (DRZE) (Hrsg.), Über Stammzellen 2017, </w:t>
      </w:r>
      <w:proofErr w:type="spellStart"/>
      <w:r>
        <w:rPr>
          <w:sz w:val="20"/>
        </w:rPr>
        <w:t>o.S</w:t>
      </w:r>
      <w:proofErr w:type="spellEnd"/>
      <w:r>
        <w:rPr>
          <w:sz w:val="20"/>
        </w:rPr>
        <w:t>.</w:t>
      </w:r>
    </w:p>
    <w:p w:rsidR="00CE76CD" w:rsidRDefault="00CE76CD">
      <w:pPr>
        <w:rPr>
          <w:sz w:val="20"/>
        </w:rPr>
        <w:sectPr w:rsidR="00CE76CD">
          <w:pgSz w:w="11910" w:h="16840"/>
          <w:pgMar w:top="1000" w:right="1180" w:bottom="280" w:left="1200" w:header="736" w:footer="0" w:gutter="0"/>
          <w:cols w:space="720"/>
        </w:sectPr>
      </w:pPr>
    </w:p>
    <w:p w:rsidR="00CE76CD" w:rsidRDefault="00CE76CD">
      <w:pPr>
        <w:pStyle w:val="a3"/>
        <w:spacing w:before="11"/>
        <w:rPr>
          <w:sz w:val="29"/>
        </w:rPr>
      </w:pPr>
    </w:p>
    <w:p w:rsidR="00CE76CD" w:rsidRDefault="00000000">
      <w:pPr>
        <w:pStyle w:val="a3"/>
        <w:spacing w:before="90" w:line="360" w:lineRule="auto"/>
        <w:ind w:left="235" w:right="218"/>
        <w:jc w:val="both"/>
      </w:pPr>
      <w:r>
        <w:t>Der „frühe Embryo“ hat allerdings noch keine Nervenzellen und kann daher keine Gefühle und Schmerzen empfinden. Stammzellen werden vor diesem Hintergrund als Körperzellen bezeichnet, die sich in Zelltypen oder in Gewebe weiterentwickeln können und erst dann ein Bewusstsein erlangen. Es ist entweder eine Entwicklung in „jegliches Gewebe“ (sog. „</w:t>
      </w:r>
      <w:proofErr w:type="spellStart"/>
      <w:r>
        <w:t>emb</w:t>
      </w:r>
      <w:proofErr w:type="spellEnd"/>
      <w:r>
        <w:t xml:space="preserve">- </w:t>
      </w:r>
      <w:proofErr w:type="spellStart"/>
      <w:r>
        <w:t>ryonale</w:t>
      </w:r>
      <w:proofErr w:type="spellEnd"/>
      <w:r>
        <w:t xml:space="preserve"> Stammzellen“) oder in „bestimmte Gewebetypen“ (sog. „adulte Stammzellen“) </w:t>
      </w:r>
      <w:proofErr w:type="spellStart"/>
      <w:r>
        <w:t>mög</w:t>
      </w:r>
      <w:proofErr w:type="spellEnd"/>
      <w:r>
        <w:t xml:space="preserve">- </w:t>
      </w:r>
      <w:proofErr w:type="spellStart"/>
      <w:r>
        <w:t>lich</w:t>
      </w:r>
      <w:proofErr w:type="spellEnd"/>
      <w:r>
        <w:t>. Stammzellen können dann im Rahmen des Prozesses der asymmetrischen Zellteilung Tochterzellen generieren. Die „embryonalen Stammzellen“ bilden hier die Grundlage für das menschliche Leben; sie können beliebig vermehrt werden und bilden die Basis menschlichen Lebens.</w:t>
      </w:r>
      <w:r>
        <w:rPr>
          <w:vertAlign w:val="superscript"/>
        </w:rPr>
        <w:t>11</w:t>
      </w:r>
      <w:r>
        <w:t xml:space="preserve"> Als (zeitlich) früheste Stammzellen werden die „pluripotenten Stammzellen“ </w:t>
      </w:r>
      <w:proofErr w:type="spellStart"/>
      <w:r>
        <w:t>ge</w:t>
      </w:r>
      <w:proofErr w:type="spellEnd"/>
      <w:r>
        <w:t xml:space="preserve">- </w:t>
      </w:r>
      <w:proofErr w:type="spellStart"/>
      <w:r>
        <w:t>nannt</w:t>
      </w:r>
      <w:proofErr w:type="spellEnd"/>
      <w:r>
        <w:t>, die sich aus den „embryonalen Stammzellen“ entwickeln; aus diesen entstehen später dann somatische Stamm- und Progenitorzellen.</w:t>
      </w:r>
      <w:r>
        <w:rPr>
          <w:vertAlign w:val="superscript"/>
        </w:rPr>
        <w:t>12</w:t>
      </w:r>
      <w:r>
        <w:t xml:space="preserve"> Aus „pluripotenten Stammzellen“ kann sich jedoch kein vollständiger Mensch entwickeln.</w:t>
      </w:r>
      <w:r>
        <w:rPr>
          <w:vertAlign w:val="superscript"/>
        </w:rPr>
        <w:t>13</w:t>
      </w:r>
    </w:p>
    <w:p w:rsidR="00CE76CD" w:rsidRDefault="00000000">
      <w:pPr>
        <w:pStyle w:val="a3"/>
        <w:spacing w:before="120"/>
        <w:ind w:left="235"/>
        <w:jc w:val="both"/>
      </w:pPr>
      <w:r>
        <w:t>Neben den „pluripotenten Stammzellen“ werden weitere Stammzellarten unterschieden. Von</w:t>
      </w:r>
    </w:p>
    <w:p w:rsidR="00CE76CD" w:rsidRDefault="00000000">
      <w:pPr>
        <w:pStyle w:val="a3"/>
        <w:spacing w:before="142" w:line="360" w:lineRule="auto"/>
        <w:ind w:left="235" w:right="218"/>
        <w:jc w:val="both"/>
      </w:pPr>
      <w:r>
        <w:t xml:space="preserve">„totipotenten Stammzellen“ spricht man, wenn aus diesen ein ganzer Mensch entstehen kann. Des </w:t>
      </w:r>
      <w:proofErr w:type="spellStart"/>
      <w:r>
        <w:t>Weiteren</w:t>
      </w:r>
      <w:proofErr w:type="spellEnd"/>
      <w:r>
        <w:t xml:space="preserve"> unterscheidet man die bereits genannten „adulten Stammzellen“, die multipel sind, aber auf ein Organ festgelegt</w:t>
      </w:r>
      <w:r>
        <w:rPr>
          <w:spacing w:val="-2"/>
        </w:rPr>
        <w:t xml:space="preserve"> </w:t>
      </w:r>
      <w:r>
        <w:t>sind.</w:t>
      </w:r>
      <w:r>
        <w:rPr>
          <w:vertAlign w:val="superscript"/>
        </w:rPr>
        <w:t>14</w:t>
      </w:r>
    </w:p>
    <w:p w:rsidR="00CE76CD" w:rsidRDefault="00000000">
      <w:pPr>
        <w:pStyle w:val="a3"/>
        <w:spacing w:before="116" w:line="360" w:lineRule="auto"/>
        <w:ind w:left="235" w:right="218"/>
        <w:jc w:val="both"/>
      </w:pPr>
      <w:r>
        <w:t xml:space="preserve">Die „embryonalen Stammzellen“ (als Sammelbegriff) bilden so die Grundlage für das menschliche Leben. Als (zeitlich) „früheste“ Stammzellen werden die „pluripotenten Stamm- </w:t>
      </w:r>
      <w:proofErr w:type="spellStart"/>
      <w:r>
        <w:t>zellen</w:t>
      </w:r>
      <w:proofErr w:type="spellEnd"/>
      <w:r>
        <w:t xml:space="preserve">“ genannt, die sich aus den „embryonalen Stammzellen“ entwickeln. Aus diesen </w:t>
      </w:r>
      <w:proofErr w:type="spellStart"/>
      <w:r>
        <w:t>entste</w:t>
      </w:r>
      <w:proofErr w:type="spellEnd"/>
      <w:r>
        <w:t xml:space="preserve">- </w:t>
      </w:r>
      <w:proofErr w:type="spellStart"/>
      <w:r>
        <w:t>hen</w:t>
      </w:r>
      <w:proofErr w:type="spellEnd"/>
      <w:r>
        <w:t xml:space="preserve"> später dann somatische Stamm- und </w:t>
      </w:r>
      <w:proofErr w:type="spellStart"/>
      <w:r>
        <w:t>Progenitorzellen</w:t>
      </w:r>
      <w:proofErr w:type="spellEnd"/>
      <w:r>
        <w:t>, aus denen sich letztlich das menschliche Leben entwickelt.</w:t>
      </w:r>
      <w:r>
        <w:rPr>
          <w:vertAlign w:val="superscript"/>
        </w:rPr>
        <w:t>15</w:t>
      </w:r>
      <w:r>
        <w:t xml:space="preserve"> Diese Zellen stellen daher die eigentliche Basis für die </w:t>
      </w:r>
      <w:proofErr w:type="spellStart"/>
      <w:r>
        <w:t>Ent</w:t>
      </w:r>
      <w:proofErr w:type="spellEnd"/>
      <w:r>
        <w:t xml:space="preserve">- </w:t>
      </w:r>
      <w:proofErr w:type="spellStart"/>
      <w:r>
        <w:t>wicklung</w:t>
      </w:r>
      <w:proofErr w:type="spellEnd"/>
      <w:r>
        <w:t xml:space="preserve"> des menschlichen Lebens</w:t>
      </w:r>
      <w:r>
        <w:rPr>
          <w:spacing w:val="-1"/>
        </w:rPr>
        <w:t xml:space="preserve"> </w:t>
      </w:r>
      <w:r>
        <w:t>dar.</w:t>
      </w:r>
      <w:r>
        <w:rPr>
          <w:vertAlign w:val="superscript"/>
        </w:rPr>
        <w:t>16</w:t>
      </w:r>
    </w:p>
    <w:p w:rsidR="00CE76CD" w:rsidRDefault="00000000">
      <w:pPr>
        <w:pStyle w:val="a3"/>
        <w:spacing w:before="123"/>
        <w:ind w:left="235"/>
        <w:jc w:val="both"/>
      </w:pPr>
      <w:r>
        <w:t>Die nachfolgende Abbildung ordnet die erwähnten Begriffe in das Gesamtvokabular ein.</w:t>
      </w: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5026E">
      <w:pPr>
        <w:pStyle w:val="a3"/>
        <w:spacing w:before="5"/>
        <w:rPr>
          <w:sz w:val="12"/>
        </w:rPr>
      </w:pPr>
      <w:r>
        <w:pict>
          <v:rect id="_x0000_s2055" alt="" style="position:absolute;margin-left:71.75pt;margin-top:9.15pt;width:2in;height:.5pt;z-index:-15725568;mso-wrap-edited:f;mso-width-percent:0;mso-height-percent:0;mso-wrap-distance-left:0;mso-wrap-distance-right:0;mso-position-horizontal-relative:page;mso-width-percent:0;mso-height-percent:0" fillcolor="black" stroked="f">
            <w10:wrap type="topAndBottom" anchorx="page"/>
          </v:rect>
        </w:pict>
      </w:r>
    </w:p>
    <w:p w:rsidR="00CE76CD" w:rsidRDefault="00000000">
      <w:pPr>
        <w:spacing w:before="77"/>
        <w:ind w:left="235"/>
        <w:rPr>
          <w:sz w:val="20"/>
        </w:rPr>
      </w:pPr>
      <w:r>
        <w:rPr>
          <w:sz w:val="20"/>
          <w:vertAlign w:val="superscript"/>
        </w:rPr>
        <w:t>11</w:t>
      </w:r>
      <w:r>
        <w:rPr>
          <w:sz w:val="20"/>
        </w:rPr>
        <w:t xml:space="preserve"> Vgl. </w:t>
      </w:r>
      <w:proofErr w:type="spellStart"/>
      <w:r>
        <w:rPr>
          <w:sz w:val="20"/>
        </w:rPr>
        <w:t>Kleinsmith</w:t>
      </w:r>
      <w:proofErr w:type="spellEnd"/>
      <w:r>
        <w:rPr>
          <w:sz w:val="20"/>
        </w:rPr>
        <w:t>, Pierce, 1964, S. 1524-1533</w:t>
      </w:r>
    </w:p>
    <w:p w:rsidR="00CE76CD" w:rsidRDefault="00000000">
      <w:pPr>
        <w:ind w:left="235"/>
        <w:rPr>
          <w:sz w:val="20"/>
        </w:rPr>
      </w:pPr>
      <w:r>
        <w:rPr>
          <w:sz w:val="20"/>
          <w:vertAlign w:val="superscript"/>
        </w:rPr>
        <w:t>12</w:t>
      </w:r>
      <w:r>
        <w:rPr>
          <w:sz w:val="20"/>
        </w:rPr>
        <w:t xml:space="preserve"> Vgl. </w:t>
      </w:r>
      <w:proofErr w:type="spellStart"/>
      <w:r>
        <w:rPr>
          <w:sz w:val="20"/>
        </w:rPr>
        <w:t>Hubner</w:t>
      </w:r>
      <w:proofErr w:type="spellEnd"/>
      <w:r>
        <w:rPr>
          <w:sz w:val="20"/>
        </w:rPr>
        <w:t>, 2003, S. 1251-1256</w:t>
      </w:r>
    </w:p>
    <w:p w:rsidR="00CE76CD" w:rsidRDefault="00000000">
      <w:pPr>
        <w:spacing w:before="1"/>
        <w:ind w:left="235"/>
        <w:rPr>
          <w:sz w:val="20"/>
        </w:rPr>
      </w:pPr>
      <w:r>
        <w:rPr>
          <w:sz w:val="20"/>
          <w:vertAlign w:val="superscript"/>
        </w:rPr>
        <w:t>13</w:t>
      </w:r>
      <w:r>
        <w:rPr>
          <w:sz w:val="20"/>
        </w:rPr>
        <w:t xml:space="preserve"> Vgl. Henn, 2002, S.</w:t>
      </w:r>
      <w:r>
        <w:rPr>
          <w:spacing w:val="-6"/>
          <w:sz w:val="20"/>
        </w:rPr>
        <w:t xml:space="preserve"> </w:t>
      </w:r>
      <w:r>
        <w:rPr>
          <w:sz w:val="20"/>
        </w:rPr>
        <w:t>517-524</w:t>
      </w:r>
    </w:p>
    <w:p w:rsidR="00CE76CD" w:rsidRDefault="00000000">
      <w:pPr>
        <w:ind w:left="235"/>
        <w:rPr>
          <w:sz w:val="20"/>
        </w:rPr>
      </w:pPr>
      <w:r>
        <w:rPr>
          <w:sz w:val="20"/>
          <w:vertAlign w:val="superscript"/>
        </w:rPr>
        <w:t>14</w:t>
      </w:r>
      <w:r>
        <w:rPr>
          <w:sz w:val="20"/>
        </w:rPr>
        <w:t xml:space="preserve"> Vgl. Henn, 2002, S.</w:t>
      </w:r>
      <w:r>
        <w:rPr>
          <w:spacing w:val="-6"/>
          <w:sz w:val="20"/>
        </w:rPr>
        <w:t xml:space="preserve"> </w:t>
      </w:r>
      <w:r>
        <w:rPr>
          <w:sz w:val="20"/>
        </w:rPr>
        <w:t>517-524</w:t>
      </w:r>
    </w:p>
    <w:p w:rsidR="00CE76CD" w:rsidRDefault="00000000">
      <w:pPr>
        <w:ind w:left="235"/>
        <w:rPr>
          <w:sz w:val="20"/>
        </w:rPr>
      </w:pPr>
      <w:r>
        <w:rPr>
          <w:sz w:val="20"/>
          <w:vertAlign w:val="superscript"/>
        </w:rPr>
        <w:t>15</w:t>
      </w:r>
      <w:r>
        <w:rPr>
          <w:sz w:val="20"/>
        </w:rPr>
        <w:t xml:space="preserve"> Vgl. </w:t>
      </w:r>
      <w:proofErr w:type="spellStart"/>
      <w:r>
        <w:rPr>
          <w:sz w:val="20"/>
        </w:rPr>
        <w:t>Kleinsmith</w:t>
      </w:r>
      <w:proofErr w:type="spellEnd"/>
      <w:r>
        <w:rPr>
          <w:sz w:val="20"/>
        </w:rPr>
        <w:t>, Pierce, 1964, S. 1524-1533</w:t>
      </w:r>
    </w:p>
    <w:p w:rsidR="00CE76CD" w:rsidRDefault="00000000">
      <w:pPr>
        <w:spacing w:before="1"/>
        <w:ind w:left="235"/>
        <w:rPr>
          <w:sz w:val="20"/>
        </w:rPr>
      </w:pPr>
      <w:r>
        <w:rPr>
          <w:sz w:val="20"/>
          <w:vertAlign w:val="superscript"/>
        </w:rPr>
        <w:t>16</w:t>
      </w:r>
      <w:r>
        <w:rPr>
          <w:sz w:val="20"/>
        </w:rPr>
        <w:t xml:space="preserve"> Vgl. </w:t>
      </w:r>
      <w:proofErr w:type="spellStart"/>
      <w:r>
        <w:rPr>
          <w:sz w:val="20"/>
        </w:rPr>
        <w:t>Hubner</w:t>
      </w:r>
      <w:proofErr w:type="spellEnd"/>
      <w:r>
        <w:rPr>
          <w:sz w:val="20"/>
        </w:rPr>
        <w:t>, 2003, S. 1251-1256</w:t>
      </w:r>
    </w:p>
    <w:p w:rsidR="00CE76CD" w:rsidRDefault="00CE76CD">
      <w:pPr>
        <w:rPr>
          <w:sz w:val="20"/>
        </w:rPr>
        <w:sectPr w:rsidR="00CE76CD">
          <w:pgSz w:w="11910" w:h="16840"/>
          <w:pgMar w:top="1000" w:right="1180" w:bottom="280" w:left="1200" w:header="736" w:footer="0" w:gutter="0"/>
          <w:cols w:space="720"/>
        </w:sectPr>
      </w:pPr>
    </w:p>
    <w:p w:rsidR="00CE76CD" w:rsidRDefault="00CE76CD">
      <w:pPr>
        <w:pStyle w:val="a3"/>
        <w:rPr>
          <w:sz w:val="20"/>
        </w:rPr>
      </w:pPr>
    </w:p>
    <w:p w:rsidR="00CE76CD" w:rsidRDefault="00CE76CD">
      <w:pPr>
        <w:pStyle w:val="a3"/>
        <w:spacing w:before="10"/>
        <w:rPr>
          <w:sz w:val="17"/>
        </w:rPr>
      </w:pPr>
    </w:p>
    <w:p w:rsidR="00CE76CD" w:rsidRDefault="00000000">
      <w:pPr>
        <w:pStyle w:val="a3"/>
        <w:ind w:left="237"/>
        <w:rPr>
          <w:sz w:val="20"/>
        </w:rPr>
      </w:pPr>
      <w:r>
        <w:rPr>
          <w:noProof/>
          <w:sz w:val="20"/>
        </w:rPr>
        <w:drawing>
          <wp:inline distT="0" distB="0" distL="0" distR="0">
            <wp:extent cx="2561838" cy="2186940"/>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2561838" cy="2186940"/>
                    </a:xfrm>
                    <a:prstGeom prst="rect">
                      <a:avLst/>
                    </a:prstGeom>
                  </pic:spPr>
                </pic:pic>
              </a:graphicData>
            </a:graphic>
          </wp:inline>
        </w:drawing>
      </w:r>
    </w:p>
    <w:p w:rsidR="00CE76CD" w:rsidRDefault="00CE76CD">
      <w:pPr>
        <w:pStyle w:val="a3"/>
        <w:spacing w:before="7"/>
        <w:rPr>
          <w:sz w:val="15"/>
        </w:rPr>
      </w:pPr>
    </w:p>
    <w:p w:rsidR="00CE76CD" w:rsidRDefault="00000000">
      <w:pPr>
        <w:pStyle w:val="a3"/>
        <w:spacing w:before="90" w:line="468" w:lineRule="auto"/>
        <w:ind w:left="235" w:right="5122"/>
      </w:pPr>
      <w:r>
        <w:t xml:space="preserve">Abbildung 2: Arten von Stammzellen Quelle: Medizin Kompakt (Hrsg.), </w:t>
      </w:r>
      <w:proofErr w:type="spellStart"/>
      <w:r>
        <w:t>o.J</w:t>
      </w:r>
      <w:proofErr w:type="spellEnd"/>
      <w:r>
        <w:t xml:space="preserve">, </w:t>
      </w:r>
      <w:proofErr w:type="spellStart"/>
      <w:r>
        <w:t>o.S</w:t>
      </w:r>
      <w:proofErr w:type="spellEnd"/>
      <w:r>
        <w:t>.</w:t>
      </w:r>
    </w:p>
    <w:p w:rsidR="00CE76CD" w:rsidRDefault="00CE76CD">
      <w:pPr>
        <w:spacing w:line="468" w:lineRule="auto"/>
        <w:sectPr w:rsidR="00CE76CD">
          <w:pgSz w:w="11910" w:h="16840"/>
          <w:pgMar w:top="1000" w:right="1180" w:bottom="280" w:left="1200" w:header="736" w:footer="0" w:gutter="0"/>
          <w:cols w:space="720"/>
        </w:sectPr>
      </w:pPr>
    </w:p>
    <w:p w:rsidR="00CE76CD" w:rsidRDefault="00CE76CD">
      <w:pPr>
        <w:pStyle w:val="a3"/>
        <w:spacing w:before="10"/>
        <w:rPr>
          <w:sz w:val="29"/>
        </w:rPr>
      </w:pPr>
    </w:p>
    <w:p w:rsidR="00CE76CD" w:rsidRDefault="00000000">
      <w:pPr>
        <w:pStyle w:val="1"/>
        <w:numPr>
          <w:ilvl w:val="0"/>
          <w:numId w:val="1"/>
        </w:numPr>
        <w:tabs>
          <w:tab w:val="left" w:pos="529"/>
        </w:tabs>
        <w:spacing w:line="362" w:lineRule="auto"/>
        <w:ind w:left="235" w:right="218" w:firstLine="0"/>
      </w:pPr>
      <w:bookmarkStart w:id="7" w:name="_TOC_250005"/>
      <w:bookmarkEnd w:id="7"/>
      <w:r>
        <w:t xml:space="preserve">Unterschiedliche Standpunkte für die Bewertung der </w:t>
      </w:r>
      <w:proofErr w:type="spellStart"/>
      <w:r>
        <w:t>Embryonenfor</w:t>
      </w:r>
      <w:proofErr w:type="spellEnd"/>
      <w:r>
        <w:t xml:space="preserve">- </w:t>
      </w:r>
      <w:proofErr w:type="spellStart"/>
      <w:r>
        <w:t>schung</w:t>
      </w:r>
      <w:proofErr w:type="spellEnd"/>
    </w:p>
    <w:p w:rsidR="00CE76CD" w:rsidRDefault="00000000">
      <w:pPr>
        <w:pStyle w:val="2"/>
        <w:numPr>
          <w:ilvl w:val="1"/>
          <w:numId w:val="1"/>
        </w:numPr>
        <w:tabs>
          <w:tab w:val="left" w:pos="625"/>
        </w:tabs>
        <w:spacing w:before="121"/>
      </w:pPr>
      <w:bookmarkStart w:id="8" w:name="_TOC_250004"/>
      <w:bookmarkEnd w:id="8"/>
      <w:r>
        <w:t>Sichtweise der Weltreligionen</w:t>
      </w:r>
    </w:p>
    <w:p w:rsidR="00CE76CD" w:rsidRDefault="00CE76CD">
      <w:pPr>
        <w:pStyle w:val="a3"/>
        <w:spacing w:before="3"/>
        <w:rPr>
          <w:b/>
          <w:sz w:val="23"/>
        </w:rPr>
      </w:pPr>
    </w:p>
    <w:p w:rsidR="00CE76CD" w:rsidRDefault="00000000">
      <w:pPr>
        <w:pStyle w:val="a3"/>
        <w:spacing w:line="360" w:lineRule="auto"/>
        <w:ind w:left="235" w:right="218"/>
        <w:jc w:val="both"/>
      </w:pPr>
      <w:r>
        <w:t xml:space="preserve">Nach </w:t>
      </w:r>
      <w:r>
        <w:rPr>
          <w:i/>
        </w:rPr>
        <w:t xml:space="preserve">christlich-theologischer Sicht </w:t>
      </w:r>
      <w:r>
        <w:t xml:space="preserve">gilt für einen Schutz „von Beginn an“ Genesis 1, 27. Demnach hängt die Würde jedes Menschen nicht von den Eigenschaften ab, die ihm </w:t>
      </w:r>
      <w:proofErr w:type="spellStart"/>
      <w:r>
        <w:t>zuge</w:t>
      </w:r>
      <w:proofErr w:type="spellEnd"/>
      <w:r>
        <w:t xml:space="preserve">- </w:t>
      </w:r>
      <w:proofErr w:type="spellStart"/>
      <w:r>
        <w:t>sprochen</w:t>
      </w:r>
      <w:proofErr w:type="spellEnd"/>
      <w:r>
        <w:t xml:space="preserve"> werden, sondern von der ihm übertragenen „Gottesebenbildlichkeit“. Nach Psalm 139, 13-16 und Hiob 10 gilt diese „Gottesebenbildlichkeit“ bereits auch für den nicht </w:t>
      </w:r>
      <w:proofErr w:type="spellStart"/>
      <w:r>
        <w:t>gebore</w:t>
      </w:r>
      <w:proofErr w:type="spellEnd"/>
      <w:r>
        <w:t xml:space="preserve">- </w:t>
      </w:r>
      <w:proofErr w:type="spellStart"/>
      <w:r>
        <w:t>nen</w:t>
      </w:r>
      <w:proofErr w:type="spellEnd"/>
      <w:r>
        <w:t xml:space="preserve"> Menschen, da jeder Embryo von Beginn an die volle Potenzialität besitzt eine </w:t>
      </w:r>
      <w:proofErr w:type="spellStart"/>
      <w:r>
        <w:t>menschli</w:t>
      </w:r>
      <w:proofErr w:type="spellEnd"/>
      <w:r>
        <w:t xml:space="preserve">- </w:t>
      </w:r>
      <w:proofErr w:type="spellStart"/>
      <w:r>
        <w:t>che</w:t>
      </w:r>
      <w:proofErr w:type="spellEnd"/>
      <w:r>
        <w:t xml:space="preserve"> Person zu werden (sog. Potenzialargument).</w:t>
      </w:r>
      <w:r>
        <w:rPr>
          <w:vertAlign w:val="superscript"/>
        </w:rPr>
        <w:t>17</w:t>
      </w:r>
      <w:r>
        <w:t xml:space="preserve"> Aufbauend hierauf gilt nach </w:t>
      </w:r>
      <w:r>
        <w:rPr>
          <w:i/>
        </w:rPr>
        <w:t xml:space="preserve">protestanti- </w:t>
      </w:r>
      <w:proofErr w:type="spellStart"/>
      <w:r>
        <w:rPr>
          <w:i/>
        </w:rPr>
        <w:t>schem</w:t>
      </w:r>
      <w:proofErr w:type="spellEnd"/>
      <w:r>
        <w:rPr>
          <w:i/>
        </w:rPr>
        <w:t xml:space="preserve"> Verständnis </w:t>
      </w:r>
      <w:r>
        <w:t xml:space="preserve">der „Evangelischen Kirche in Deutschland“ (EKD) „die Tötung </w:t>
      </w:r>
      <w:proofErr w:type="spellStart"/>
      <w:r>
        <w:t>menschli</w:t>
      </w:r>
      <w:proofErr w:type="spellEnd"/>
      <w:r>
        <w:t xml:space="preserve">- </w:t>
      </w:r>
      <w:proofErr w:type="spellStart"/>
      <w:r>
        <w:t>cher</w:t>
      </w:r>
      <w:proofErr w:type="spellEnd"/>
      <w:r>
        <w:t xml:space="preserve"> Embryonen zur Gewinnung von Stammzellen“</w:t>
      </w:r>
      <w:r>
        <w:rPr>
          <w:vertAlign w:val="superscript"/>
        </w:rPr>
        <w:t>18</w:t>
      </w:r>
      <w:r>
        <w:t xml:space="preserve"> als Instrumentalisierung menschlichen Lebens, was ethisch aus Sicht der Kirche nicht gerechtfertigt werden kann. Als Kompromiss lässt die EKD Forschung nur dann zu, wenn sie dazu dient, Grundlagenwissen zu füllen und an sog. „adulten Stammzellen“ (AS-Zellen) – hierbei handelt es sich um Zellen, die bereits entwickelt sind und im Körper eines Menschen existieren und damit im Gegensatz zu den embryonalen (Stamm-)Zellen stehen – geschieht.</w:t>
      </w:r>
      <w:r>
        <w:rPr>
          <w:vertAlign w:val="superscript"/>
        </w:rPr>
        <w:t>19</w:t>
      </w:r>
      <w:r>
        <w:t xml:space="preserve"> Ergänzend muss allerdings angeführt wer- den, dass innerhalb der EKD durchaus unterschiedliche Sichtweisen zur Embryonenforschung existieren, d.h. es existiert kein sog. institutionelles Lehramt.</w:t>
      </w:r>
      <w:r>
        <w:rPr>
          <w:vertAlign w:val="superscript"/>
        </w:rPr>
        <w:t>20</w:t>
      </w:r>
      <w:r>
        <w:t xml:space="preserve"> Die „Deutsche </w:t>
      </w:r>
      <w:proofErr w:type="spellStart"/>
      <w:r>
        <w:t>Bischofskonfe</w:t>
      </w:r>
      <w:proofErr w:type="spellEnd"/>
      <w:r>
        <w:t xml:space="preserve">- </w:t>
      </w:r>
      <w:proofErr w:type="spellStart"/>
      <w:r>
        <w:t>renz</w:t>
      </w:r>
      <w:proofErr w:type="spellEnd"/>
      <w:r>
        <w:t xml:space="preserve">“ (DBK) in der </w:t>
      </w:r>
      <w:r>
        <w:rPr>
          <w:i/>
        </w:rPr>
        <w:t xml:space="preserve">römisch-katholischen Kirche </w:t>
      </w:r>
      <w:r>
        <w:t xml:space="preserve">postuliert, dass bereits der Embryo ein „in- dividuelles Leben“ darstellt und somit einen Anspruch auf Schutz und einen Anspruch „zur uneingeschränkten Ausübung des Menschseins“ hat. Daher sind „gezielte Eingriffe an </w:t>
      </w:r>
      <w:proofErr w:type="spellStart"/>
      <w:r>
        <w:t>Emb</w:t>
      </w:r>
      <w:proofErr w:type="spellEnd"/>
      <w:r>
        <w:t xml:space="preserve">- </w:t>
      </w:r>
      <w:proofErr w:type="spellStart"/>
      <w:r>
        <w:t>ryonen</w:t>
      </w:r>
      <w:proofErr w:type="spellEnd"/>
      <w:r>
        <w:t xml:space="preserve"> (…), die ihre Schädigung oder Vernichtung in Kauf nehmen, (…) nicht zu </w:t>
      </w:r>
      <w:proofErr w:type="spellStart"/>
      <w:r>
        <w:t>verantwor</w:t>
      </w:r>
      <w:proofErr w:type="spellEnd"/>
      <w:r>
        <w:t>- ten“</w:t>
      </w:r>
      <w:r>
        <w:rPr>
          <w:vertAlign w:val="superscript"/>
        </w:rPr>
        <w:t>21</w:t>
      </w:r>
      <w:r>
        <w:t xml:space="preserve"> Diese Meinung wird als institutionelles Lehramt der DBK und damit als einheitliche Auffassung der katholischen Kirche verstanden, an dem sich auch die evangelische Kirche orientiert, was aber für diese Einordnung nicht relevant ist.</w:t>
      </w:r>
      <w:r>
        <w:rPr>
          <w:vertAlign w:val="superscript"/>
        </w:rPr>
        <w:t>22</w:t>
      </w:r>
      <w:r>
        <w:t xml:space="preserve"> Dies repräsentiert die aktuelle Meinung der katholischen Kirche</w:t>
      </w:r>
    </w:p>
    <w:p w:rsidR="00CE76CD" w:rsidRDefault="00CE76CD">
      <w:pPr>
        <w:pStyle w:val="a3"/>
        <w:rPr>
          <w:sz w:val="20"/>
        </w:rPr>
      </w:pPr>
    </w:p>
    <w:p w:rsidR="00CE76CD" w:rsidRDefault="00CE76CD">
      <w:pPr>
        <w:pStyle w:val="a3"/>
        <w:rPr>
          <w:sz w:val="20"/>
        </w:rPr>
      </w:pPr>
    </w:p>
    <w:p w:rsidR="00CE76CD" w:rsidRDefault="00C5026E">
      <w:pPr>
        <w:pStyle w:val="a3"/>
        <w:rPr>
          <w:sz w:val="28"/>
        </w:rPr>
      </w:pPr>
      <w:r>
        <w:pict>
          <v:rect id="_x0000_s2054" alt="" style="position:absolute;margin-left:71.75pt;margin-top:18.05pt;width:2in;height:.5pt;z-index:-15725056;mso-wrap-edited:f;mso-width-percent:0;mso-height-percent:0;mso-wrap-distance-left:0;mso-wrap-distance-right:0;mso-position-horizontal-relative:page;mso-width-percent:0;mso-height-percent:0" fillcolor="black" stroked="f">
            <w10:wrap type="topAndBottom" anchorx="page"/>
          </v:rect>
        </w:pict>
      </w:r>
    </w:p>
    <w:p w:rsidR="00CE76CD" w:rsidRDefault="00000000">
      <w:pPr>
        <w:spacing w:before="82" w:line="228" w:lineRule="exact"/>
        <w:ind w:left="235"/>
        <w:rPr>
          <w:sz w:val="20"/>
        </w:rPr>
      </w:pPr>
      <w:r>
        <w:rPr>
          <w:sz w:val="20"/>
          <w:vertAlign w:val="superscript"/>
        </w:rPr>
        <w:t>17</w:t>
      </w:r>
      <w:r>
        <w:rPr>
          <w:sz w:val="20"/>
        </w:rPr>
        <w:t xml:space="preserve"> Vgl. zellux.net (Hrsg.), </w:t>
      </w:r>
      <w:proofErr w:type="spellStart"/>
      <w:r>
        <w:rPr>
          <w:sz w:val="20"/>
        </w:rPr>
        <w:t>o.J.a</w:t>
      </w:r>
      <w:proofErr w:type="spellEnd"/>
      <w:r>
        <w:rPr>
          <w:sz w:val="20"/>
        </w:rPr>
        <w:t xml:space="preserve">, </w:t>
      </w:r>
      <w:proofErr w:type="spellStart"/>
      <w:r>
        <w:rPr>
          <w:sz w:val="20"/>
        </w:rPr>
        <w:t>o.S</w:t>
      </w:r>
      <w:proofErr w:type="spellEnd"/>
      <w:r>
        <w:rPr>
          <w:sz w:val="20"/>
        </w:rPr>
        <w:t xml:space="preserve">.; zellux.net (Hrsg.), </w:t>
      </w:r>
      <w:proofErr w:type="spellStart"/>
      <w:r>
        <w:rPr>
          <w:sz w:val="20"/>
        </w:rPr>
        <w:t>o.J.a</w:t>
      </w:r>
      <w:proofErr w:type="spellEnd"/>
      <w:r>
        <w:rPr>
          <w:sz w:val="20"/>
        </w:rPr>
        <w:t xml:space="preserve">, </w:t>
      </w:r>
      <w:proofErr w:type="spellStart"/>
      <w:r>
        <w:rPr>
          <w:sz w:val="20"/>
        </w:rPr>
        <w:t>o.S</w:t>
      </w:r>
      <w:proofErr w:type="spellEnd"/>
      <w:r>
        <w:rPr>
          <w:sz w:val="20"/>
        </w:rPr>
        <w:t>.</w:t>
      </w:r>
    </w:p>
    <w:p w:rsidR="00CE76CD" w:rsidRDefault="00000000">
      <w:pPr>
        <w:spacing w:line="228" w:lineRule="exact"/>
        <w:ind w:left="235"/>
        <w:rPr>
          <w:sz w:val="20"/>
        </w:rPr>
      </w:pPr>
      <w:r>
        <w:rPr>
          <w:sz w:val="20"/>
          <w:vertAlign w:val="superscript"/>
        </w:rPr>
        <w:t>18</w:t>
      </w:r>
      <w:r>
        <w:rPr>
          <w:sz w:val="20"/>
        </w:rPr>
        <w:t xml:space="preserve"> Huber, 2004, S. 1136</w:t>
      </w:r>
    </w:p>
    <w:p w:rsidR="00CE76CD" w:rsidRDefault="00000000">
      <w:pPr>
        <w:ind w:left="235"/>
        <w:rPr>
          <w:sz w:val="20"/>
        </w:rPr>
      </w:pPr>
      <w:r>
        <w:rPr>
          <w:sz w:val="20"/>
          <w:vertAlign w:val="superscript"/>
        </w:rPr>
        <w:t>19</w:t>
      </w:r>
      <w:r>
        <w:rPr>
          <w:sz w:val="20"/>
        </w:rPr>
        <w:t xml:space="preserve"> Vgl. Huber, 2004, S. 1136; Bartsch, </w:t>
      </w:r>
      <w:proofErr w:type="spellStart"/>
      <w:r>
        <w:rPr>
          <w:sz w:val="20"/>
        </w:rPr>
        <w:t>Frimberger</w:t>
      </w:r>
      <w:proofErr w:type="spellEnd"/>
      <w:r>
        <w:rPr>
          <w:sz w:val="20"/>
        </w:rPr>
        <w:t>, 2004, S. 1229-1236</w:t>
      </w:r>
    </w:p>
    <w:p w:rsidR="00CE76CD" w:rsidRDefault="00000000">
      <w:pPr>
        <w:ind w:left="235" w:right="219"/>
        <w:rPr>
          <w:sz w:val="20"/>
        </w:rPr>
      </w:pPr>
      <w:r>
        <w:rPr>
          <w:sz w:val="20"/>
          <w:vertAlign w:val="superscript"/>
        </w:rPr>
        <w:t>20</w:t>
      </w:r>
      <w:r>
        <w:rPr>
          <w:sz w:val="20"/>
        </w:rPr>
        <w:t xml:space="preserve"> Vgl. Kammer für Öffentliche Verwaltung der Evangelischen Kirche in Deutschland (Hrsg.), 2012, Kapitel 3.1.2.</w:t>
      </w:r>
    </w:p>
    <w:p w:rsidR="00CE76CD" w:rsidRDefault="00000000">
      <w:pPr>
        <w:spacing w:before="1"/>
        <w:ind w:left="235"/>
        <w:rPr>
          <w:sz w:val="20"/>
        </w:rPr>
      </w:pPr>
      <w:r>
        <w:rPr>
          <w:sz w:val="20"/>
          <w:vertAlign w:val="superscript"/>
        </w:rPr>
        <w:t>21</w:t>
      </w:r>
      <w:r>
        <w:rPr>
          <w:sz w:val="20"/>
        </w:rPr>
        <w:t xml:space="preserve"> Alle drei Zitate: DBK (Hrsg.), 1989, S. 43</w:t>
      </w:r>
    </w:p>
    <w:p w:rsidR="00CE76CD" w:rsidRDefault="00000000">
      <w:pPr>
        <w:spacing w:before="1"/>
        <w:ind w:left="235"/>
        <w:rPr>
          <w:sz w:val="20"/>
        </w:rPr>
      </w:pPr>
      <w:r>
        <w:rPr>
          <w:sz w:val="20"/>
          <w:vertAlign w:val="superscript"/>
        </w:rPr>
        <w:t>22</w:t>
      </w:r>
      <w:r>
        <w:rPr>
          <w:sz w:val="20"/>
        </w:rPr>
        <w:t xml:space="preserve"> Vgl. DBK (Hrsg.), 2006, </w:t>
      </w:r>
      <w:proofErr w:type="spellStart"/>
      <w:r>
        <w:rPr>
          <w:sz w:val="20"/>
        </w:rPr>
        <w:t>o.S</w:t>
      </w:r>
      <w:proofErr w:type="spellEnd"/>
      <w:r>
        <w:rPr>
          <w:sz w:val="20"/>
        </w:rPr>
        <w:t xml:space="preserve">.; zellux.net (Hrsg.), </w:t>
      </w:r>
      <w:proofErr w:type="spellStart"/>
      <w:r>
        <w:rPr>
          <w:sz w:val="20"/>
        </w:rPr>
        <w:t>o.J.a</w:t>
      </w:r>
      <w:proofErr w:type="spellEnd"/>
      <w:r>
        <w:rPr>
          <w:sz w:val="20"/>
        </w:rPr>
        <w:t xml:space="preserve">, </w:t>
      </w:r>
      <w:proofErr w:type="spellStart"/>
      <w:r>
        <w:rPr>
          <w:sz w:val="20"/>
        </w:rPr>
        <w:t>o.S</w:t>
      </w:r>
      <w:proofErr w:type="spellEnd"/>
      <w:r>
        <w:rPr>
          <w:sz w:val="20"/>
        </w:rPr>
        <w:t>.</w:t>
      </w:r>
    </w:p>
    <w:p w:rsidR="00CE76CD" w:rsidRDefault="00CE76CD">
      <w:pPr>
        <w:rPr>
          <w:sz w:val="20"/>
        </w:rPr>
        <w:sectPr w:rsidR="00CE76CD">
          <w:pgSz w:w="11910" w:h="16840"/>
          <w:pgMar w:top="1000" w:right="1180" w:bottom="280" w:left="1200" w:header="736" w:footer="0" w:gutter="0"/>
          <w:cols w:space="720"/>
        </w:sectPr>
      </w:pPr>
    </w:p>
    <w:p w:rsidR="00CE76CD" w:rsidRDefault="00CE76CD">
      <w:pPr>
        <w:pStyle w:val="a3"/>
        <w:spacing w:before="11"/>
        <w:rPr>
          <w:sz w:val="29"/>
        </w:rPr>
      </w:pPr>
    </w:p>
    <w:p w:rsidR="00CE76CD" w:rsidRDefault="00000000">
      <w:pPr>
        <w:pStyle w:val="a3"/>
        <w:spacing w:before="90" w:line="360" w:lineRule="auto"/>
        <w:ind w:left="235" w:right="218"/>
        <w:jc w:val="both"/>
      </w:pPr>
      <w:r>
        <w:t xml:space="preserve">Der </w:t>
      </w:r>
      <w:r>
        <w:rPr>
          <w:i/>
        </w:rPr>
        <w:t xml:space="preserve">Islam </w:t>
      </w:r>
      <w:r>
        <w:t xml:space="preserve">geht davon aus, dass ein Embryo ab dem 120. Tag als „beseelt“ gilt. Daher sind vor dem 120. Tag Forschungen an Embryonen erlaubt; allerdings gibt es keine einheitliche Auf- </w:t>
      </w:r>
      <w:proofErr w:type="spellStart"/>
      <w:r>
        <w:t>fassung</w:t>
      </w:r>
      <w:proofErr w:type="spellEnd"/>
      <w:r>
        <w:t xml:space="preserve"> und unterschiedliche Zweige interpretieren, mangels einer zentralen religiösen In- </w:t>
      </w:r>
      <w:proofErr w:type="spellStart"/>
      <w:r>
        <w:t>stanz</w:t>
      </w:r>
      <w:proofErr w:type="spellEnd"/>
      <w:r>
        <w:t>, diese Erlaubnis zum Teil deutlich restriktiver.</w:t>
      </w:r>
      <w:r>
        <w:rPr>
          <w:vertAlign w:val="superscript"/>
        </w:rPr>
        <w:t>23</w:t>
      </w:r>
      <w:r>
        <w:t xml:space="preserve"> Im Gegensatz zum Islam setzt die</w:t>
      </w:r>
    </w:p>
    <w:p w:rsidR="00CE76CD" w:rsidRDefault="00000000">
      <w:pPr>
        <w:pStyle w:val="a3"/>
        <w:spacing w:line="362" w:lineRule="auto"/>
        <w:ind w:left="235" w:right="218"/>
        <w:jc w:val="both"/>
      </w:pPr>
      <w:r>
        <w:t xml:space="preserve">„Beseelung“ beim </w:t>
      </w:r>
      <w:r>
        <w:rPr>
          <w:i/>
        </w:rPr>
        <w:t xml:space="preserve">Judentum </w:t>
      </w:r>
      <w:r>
        <w:t xml:space="preserve">schon 40 Tage nach der Befruchtung an. Davor ist die Embryo- </w:t>
      </w:r>
      <w:proofErr w:type="spellStart"/>
      <w:r>
        <w:t>nenforschung</w:t>
      </w:r>
      <w:proofErr w:type="spellEnd"/>
      <w:r>
        <w:t xml:space="preserve"> zulässig.</w:t>
      </w:r>
      <w:r>
        <w:rPr>
          <w:vertAlign w:val="superscript"/>
        </w:rPr>
        <w:t>24</w:t>
      </w:r>
    </w:p>
    <w:p w:rsidR="00CE76CD" w:rsidRDefault="00000000">
      <w:pPr>
        <w:pStyle w:val="a3"/>
        <w:spacing w:before="117" w:line="360" w:lineRule="auto"/>
        <w:ind w:left="235" w:right="218"/>
        <w:jc w:val="both"/>
      </w:pPr>
      <w:r>
        <w:t xml:space="preserve">Nach </w:t>
      </w:r>
      <w:r>
        <w:rPr>
          <w:i/>
        </w:rPr>
        <w:t xml:space="preserve">buddhistischer Sicht </w:t>
      </w:r>
      <w:r>
        <w:t xml:space="preserve">beginnt Leben mit der Empfängnis. Daher ist der Schutz allen Le- </w:t>
      </w:r>
      <w:proofErr w:type="spellStart"/>
      <w:r>
        <w:t>bens</w:t>
      </w:r>
      <w:proofErr w:type="spellEnd"/>
      <w:r>
        <w:t xml:space="preserve"> eine zentrale Grundhaltung der Ethik im Buddhismus und demnach lehnt die „Deutsche Buddhistische Union“ jegliche Embryonenforschung ab.</w:t>
      </w:r>
      <w:r>
        <w:rPr>
          <w:vertAlign w:val="superscript"/>
        </w:rPr>
        <w:t>25</w:t>
      </w:r>
    </w:p>
    <w:p w:rsidR="00CE76CD" w:rsidRDefault="00000000">
      <w:pPr>
        <w:pStyle w:val="a3"/>
        <w:spacing w:before="121" w:line="360" w:lineRule="auto"/>
        <w:ind w:left="235" w:right="218"/>
        <w:jc w:val="both"/>
      </w:pPr>
      <w:r>
        <w:t xml:space="preserve">Beim </w:t>
      </w:r>
      <w:r>
        <w:rPr>
          <w:i/>
        </w:rPr>
        <w:t xml:space="preserve">Hinduismus </w:t>
      </w:r>
      <w:r>
        <w:t xml:space="preserve">ist keine einheitliche Sichtweise zur Embryonenforschung feststellbar. Gemeinsam ist den meisten hinduistischen Meinungen, dass das menschliche Leben mit der Empfängnis beginnt. Allerdings wird dem Leben selbst beim Weitem kein so hoher Wert zu- geschrieben wie dies im Christentum der Fall ist. Demnach sind auch die Forschung und Zer- </w:t>
      </w:r>
      <w:proofErr w:type="spellStart"/>
      <w:r>
        <w:t>störung</w:t>
      </w:r>
      <w:proofErr w:type="spellEnd"/>
      <w:r>
        <w:t xml:space="preserve"> von Embryonen zulässig, wenn dies einem „höheren Wohl“ dient.</w:t>
      </w:r>
      <w:r>
        <w:rPr>
          <w:vertAlign w:val="superscript"/>
        </w:rPr>
        <w:t>26</w:t>
      </w:r>
    </w:p>
    <w:p w:rsidR="00CE76CD" w:rsidRDefault="00000000">
      <w:pPr>
        <w:pStyle w:val="a3"/>
        <w:spacing w:before="119"/>
        <w:ind w:left="235"/>
        <w:jc w:val="both"/>
      </w:pPr>
      <w:r>
        <w:t>Die nachfolgende Tabelle fasst die Sichtweisen der Weltreligionen vergleichend zusammen.</w:t>
      </w:r>
    </w:p>
    <w:p w:rsidR="00CE76CD" w:rsidRDefault="00CE76CD">
      <w:pPr>
        <w:pStyle w:val="a3"/>
        <w:spacing w:before="2"/>
        <w:rPr>
          <w:sz w:val="2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5"/>
        <w:gridCol w:w="2280"/>
        <w:gridCol w:w="2448"/>
        <w:gridCol w:w="2275"/>
      </w:tblGrid>
      <w:tr w:rsidR="00CE76CD">
        <w:trPr>
          <w:trHeight w:val="830"/>
        </w:trPr>
        <w:tc>
          <w:tcPr>
            <w:tcW w:w="2285" w:type="dxa"/>
          </w:tcPr>
          <w:p w:rsidR="00CE76CD" w:rsidRDefault="00CE76CD">
            <w:pPr>
              <w:pStyle w:val="TableParagraph"/>
              <w:spacing w:before="0"/>
              <w:ind w:left="0"/>
            </w:pPr>
          </w:p>
        </w:tc>
        <w:tc>
          <w:tcPr>
            <w:tcW w:w="2280" w:type="dxa"/>
          </w:tcPr>
          <w:p w:rsidR="00CE76CD" w:rsidRDefault="00000000">
            <w:pPr>
              <w:pStyle w:val="TableParagraph"/>
              <w:rPr>
                <w:b/>
                <w:sz w:val="24"/>
              </w:rPr>
            </w:pPr>
            <w:r>
              <w:rPr>
                <w:b/>
                <w:sz w:val="24"/>
              </w:rPr>
              <w:t>Institutionelles</w:t>
            </w:r>
          </w:p>
          <w:p w:rsidR="00CE76CD" w:rsidRDefault="00000000">
            <w:pPr>
              <w:pStyle w:val="TableParagraph"/>
              <w:spacing w:before="137"/>
              <w:rPr>
                <w:b/>
                <w:sz w:val="24"/>
              </w:rPr>
            </w:pPr>
            <w:r>
              <w:rPr>
                <w:b/>
                <w:sz w:val="24"/>
              </w:rPr>
              <w:t>Lehramt</w:t>
            </w:r>
          </w:p>
        </w:tc>
        <w:tc>
          <w:tcPr>
            <w:tcW w:w="2448" w:type="dxa"/>
          </w:tcPr>
          <w:p w:rsidR="00CE76CD" w:rsidRDefault="00000000">
            <w:pPr>
              <w:pStyle w:val="TableParagraph"/>
              <w:rPr>
                <w:b/>
                <w:sz w:val="24"/>
              </w:rPr>
            </w:pPr>
            <w:r>
              <w:rPr>
                <w:b/>
                <w:sz w:val="24"/>
              </w:rPr>
              <w:t>Kompromisslösungen</w:t>
            </w:r>
          </w:p>
          <w:p w:rsidR="00CE76CD" w:rsidRDefault="00000000">
            <w:pPr>
              <w:pStyle w:val="TableParagraph"/>
              <w:spacing w:before="137"/>
              <w:rPr>
                <w:b/>
                <w:sz w:val="24"/>
              </w:rPr>
            </w:pPr>
            <w:r>
              <w:rPr>
                <w:b/>
                <w:sz w:val="24"/>
              </w:rPr>
              <w:t>möglich</w:t>
            </w:r>
          </w:p>
        </w:tc>
        <w:tc>
          <w:tcPr>
            <w:tcW w:w="2275" w:type="dxa"/>
          </w:tcPr>
          <w:p w:rsidR="00CE76CD" w:rsidRDefault="00000000">
            <w:pPr>
              <w:pStyle w:val="TableParagraph"/>
              <w:ind w:left="105"/>
              <w:rPr>
                <w:b/>
                <w:sz w:val="24"/>
              </w:rPr>
            </w:pPr>
            <w:r>
              <w:rPr>
                <w:b/>
                <w:sz w:val="24"/>
              </w:rPr>
              <w:t>Erlaubnis</w:t>
            </w:r>
          </w:p>
        </w:tc>
      </w:tr>
      <w:tr w:rsidR="00CE76CD">
        <w:trPr>
          <w:trHeight w:val="1238"/>
        </w:trPr>
        <w:tc>
          <w:tcPr>
            <w:tcW w:w="2285" w:type="dxa"/>
          </w:tcPr>
          <w:p w:rsidR="00CE76CD" w:rsidRDefault="00000000">
            <w:pPr>
              <w:pStyle w:val="TableParagraph"/>
              <w:rPr>
                <w:b/>
                <w:sz w:val="24"/>
              </w:rPr>
            </w:pPr>
            <w:r>
              <w:rPr>
                <w:b/>
                <w:sz w:val="24"/>
              </w:rPr>
              <w:t>Christentum</w:t>
            </w:r>
          </w:p>
          <w:p w:rsidR="00CE76CD" w:rsidRDefault="00000000">
            <w:pPr>
              <w:pStyle w:val="TableParagraph"/>
              <w:spacing w:before="3" w:line="410" w:lineRule="atLeast"/>
              <w:ind w:right="231"/>
              <w:rPr>
                <w:b/>
                <w:sz w:val="24"/>
              </w:rPr>
            </w:pPr>
            <w:r>
              <w:rPr>
                <w:b/>
                <w:sz w:val="24"/>
              </w:rPr>
              <w:t>(christlich- theologische Sicht)</w:t>
            </w:r>
          </w:p>
        </w:tc>
        <w:tc>
          <w:tcPr>
            <w:tcW w:w="2280" w:type="dxa"/>
          </w:tcPr>
          <w:p w:rsidR="00CE76CD" w:rsidRDefault="00000000">
            <w:pPr>
              <w:pStyle w:val="TableParagraph"/>
              <w:spacing w:line="360" w:lineRule="auto"/>
              <w:ind w:right="20"/>
              <w:rPr>
                <w:sz w:val="24"/>
              </w:rPr>
            </w:pPr>
            <w:r>
              <w:rPr>
                <w:sz w:val="24"/>
              </w:rPr>
              <w:t>nein, „aber“ Genesis 1, 27</w:t>
            </w:r>
          </w:p>
        </w:tc>
        <w:tc>
          <w:tcPr>
            <w:tcW w:w="2448" w:type="dxa"/>
          </w:tcPr>
          <w:p w:rsidR="00CE76CD" w:rsidRDefault="00000000">
            <w:pPr>
              <w:pStyle w:val="TableParagraph"/>
              <w:rPr>
                <w:sz w:val="24"/>
              </w:rPr>
            </w:pPr>
            <w:r>
              <w:rPr>
                <w:sz w:val="24"/>
              </w:rPr>
              <w:t>ja, Potenzialargument</w:t>
            </w:r>
          </w:p>
          <w:p w:rsidR="00CE76CD" w:rsidRDefault="00000000">
            <w:pPr>
              <w:pStyle w:val="TableParagraph"/>
              <w:spacing w:before="3" w:line="410" w:lineRule="atLeast"/>
              <w:ind w:right="35"/>
              <w:rPr>
                <w:sz w:val="24"/>
              </w:rPr>
            </w:pPr>
            <w:r>
              <w:rPr>
                <w:sz w:val="24"/>
              </w:rPr>
              <w:t xml:space="preserve">aus der Potenz </w:t>
            </w:r>
            <w:proofErr w:type="spellStart"/>
            <w:r>
              <w:rPr>
                <w:sz w:val="24"/>
              </w:rPr>
              <w:t>gebo</w:t>
            </w:r>
            <w:proofErr w:type="spellEnd"/>
            <w:r>
              <w:rPr>
                <w:sz w:val="24"/>
              </w:rPr>
              <w:t xml:space="preserve">- </w:t>
            </w:r>
            <w:proofErr w:type="spellStart"/>
            <w:r>
              <w:rPr>
                <w:sz w:val="24"/>
              </w:rPr>
              <w:t>ren</w:t>
            </w:r>
            <w:proofErr w:type="spellEnd"/>
            <w:r>
              <w:rPr>
                <w:sz w:val="24"/>
              </w:rPr>
              <w:t xml:space="preserve"> zu werden</w:t>
            </w:r>
          </w:p>
        </w:tc>
        <w:tc>
          <w:tcPr>
            <w:tcW w:w="2275" w:type="dxa"/>
          </w:tcPr>
          <w:p w:rsidR="00CE76CD" w:rsidRDefault="00000000">
            <w:pPr>
              <w:pStyle w:val="TableParagraph"/>
              <w:tabs>
                <w:tab w:val="left" w:pos="856"/>
                <w:tab w:val="left" w:pos="1567"/>
              </w:tabs>
              <w:ind w:left="105"/>
              <w:rPr>
                <w:sz w:val="24"/>
              </w:rPr>
            </w:pPr>
            <w:r>
              <w:rPr>
                <w:sz w:val="24"/>
              </w:rPr>
              <w:t>keine</w:t>
            </w:r>
            <w:r>
              <w:rPr>
                <w:sz w:val="24"/>
              </w:rPr>
              <w:tab/>
              <w:t>beim</w:t>
            </w:r>
            <w:r>
              <w:rPr>
                <w:sz w:val="24"/>
              </w:rPr>
              <w:tab/>
              <w:t>„Von-</w:t>
            </w:r>
          </w:p>
          <w:p w:rsidR="00CE76CD" w:rsidRDefault="00000000">
            <w:pPr>
              <w:pStyle w:val="TableParagraph"/>
              <w:spacing w:before="3" w:line="410" w:lineRule="atLeast"/>
              <w:ind w:left="105" w:right="953"/>
              <w:rPr>
                <w:sz w:val="24"/>
              </w:rPr>
            </w:pPr>
            <w:r>
              <w:rPr>
                <w:sz w:val="24"/>
              </w:rPr>
              <w:t>Beginn-an“- Argument</w:t>
            </w:r>
          </w:p>
        </w:tc>
      </w:tr>
      <w:tr w:rsidR="00CE76CD">
        <w:trPr>
          <w:trHeight w:val="1655"/>
        </w:trPr>
        <w:tc>
          <w:tcPr>
            <w:tcW w:w="2285" w:type="dxa"/>
          </w:tcPr>
          <w:p w:rsidR="00CE76CD" w:rsidRDefault="00000000">
            <w:pPr>
              <w:pStyle w:val="TableParagraph"/>
              <w:spacing w:before="6" w:line="360" w:lineRule="auto"/>
              <w:ind w:right="94"/>
              <w:jc w:val="both"/>
              <w:rPr>
                <w:b/>
                <w:sz w:val="24"/>
              </w:rPr>
            </w:pPr>
            <w:r>
              <w:rPr>
                <w:b/>
                <w:sz w:val="24"/>
              </w:rPr>
              <w:t xml:space="preserve">Evangelische Kir- </w:t>
            </w:r>
            <w:proofErr w:type="spellStart"/>
            <w:r>
              <w:rPr>
                <w:b/>
                <w:sz w:val="24"/>
              </w:rPr>
              <w:t>che</w:t>
            </w:r>
            <w:proofErr w:type="spellEnd"/>
            <w:r>
              <w:rPr>
                <w:b/>
                <w:sz w:val="24"/>
              </w:rPr>
              <w:t xml:space="preserve"> (protestantische Sicht)</w:t>
            </w:r>
          </w:p>
        </w:tc>
        <w:tc>
          <w:tcPr>
            <w:tcW w:w="2280" w:type="dxa"/>
          </w:tcPr>
          <w:p w:rsidR="00CE76CD" w:rsidRDefault="00000000">
            <w:pPr>
              <w:pStyle w:val="TableParagraph"/>
              <w:spacing w:before="6"/>
              <w:rPr>
                <w:sz w:val="24"/>
              </w:rPr>
            </w:pPr>
            <w:r>
              <w:rPr>
                <w:sz w:val="24"/>
              </w:rPr>
              <w:t>nein</w:t>
            </w:r>
          </w:p>
        </w:tc>
        <w:tc>
          <w:tcPr>
            <w:tcW w:w="2448" w:type="dxa"/>
          </w:tcPr>
          <w:p w:rsidR="00CE76CD" w:rsidRDefault="00000000">
            <w:pPr>
              <w:pStyle w:val="TableParagraph"/>
              <w:spacing w:before="6"/>
              <w:rPr>
                <w:sz w:val="24"/>
              </w:rPr>
            </w:pPr>
            <w:r>
              <w:rPr>
                <w:sz w:val="24"/>
              </w:rPr>
              <w:t>ja</w:t>
            </w:r>
          </w:p>
        </w:tc>
        <w:tc>
          <w:tcPr>
            <w:tcW w:w="2275" w:type="dxa"/>
          </w:tcPr>
          <w:p w:rsidR="00CE76CD" w:rsidRDefault="00000000">
            <w:pPr>
              <w:pStyle w:val="TableParagraph"/>
              <w:tabs>
                <w:tab w:val="left" w:pos="1940"/>
              </w:tabs>
              <w:spacing w:before="6"/>
              <w:ind w:left="105"/>
              <w:rPr>
                <w:sz w:val="24"/>
              </w:rPr>
            </w:pPr>
            <w:r>
              <w:rPr>
                <w:sz w:val="24"/>
              </w:rPr>
              <w:t>Forschungen</w:t>
            </w:r>
            <w:r>
              <w:rPr>
                <w:sz w:val="24"/>
              </w:rPr>
              <w:tab/>
              <w:t>an</w:t>
            </w:r>
          </w:p>
          <w:p w:rsidR="00CE76CD" w:rsidRDefault="00000000">
            <w:pPr>
              <w:pStyle w:val="TableParagraph"/>
              <w:tabs>
                <w:tab w:val="left" w:pos="1806"/>
              </w:tabs>
              <w:spacing w:before="137"/>
              <w:ind w:left="105"/>
              <w:rPr>
                <w:sz w:val="24"/>
              </w:rPr>
            </w:pPr>
            <w:r>
              <w:rPr>
                <w:sz w:val="24"/>
              </w:rPr>
              <w:t>„überzähligen“</w:t>
            </w:r>
            <w:r>
              <w:rPr>
                <w:sz w:val="24"/>
              </w:rPr>
              <w:tab/>
              <w:t>und</w:t>
            </w:r>
          </w:p>
          <w:p w:rsidR="00CE76CD" w:rsidRDefault="00000000">
            <w:pPr>
              <w:pStyle w:val="TableParagraph"/>
              <w:spacing w:before="2" w:line="410" w:lineRule="atLeast"/>
              <w:ind w:left="105" w:right="887"/>
              <w:rPr>
                <w:sz w:val="24"/>
              </w:rPr>
            </w:pPr>
            <w:r>
              <w:rPr>
                <w:sz w:val="24"/>
              </w:rPr>
              <w:t>„verwaisten“ Stammzellen</w:t>
            </w:r>
          </w:p>
        </w:tc>
      </w:tr>
      <w:tr w:rsidR="00CE76CD">
        <w:trPr>
          <w:trHeight w:val="1660"/>
        </w:trPr>
        <w:tc>
          <w:tcPr>
            <w:tcW w:w="2285" w:type="dxa"/>
          </w:tcPr>
          <w:p w:rsidR="00CE76CD" w:rsidRDefault="00000000">
            <w:pPr>
              <w:pStyle w:val="TableParagraph"/>
              <w:spacing w:before="6"/>
              <w:rPr>
                <w:b/>
                <w:sz w:val="24"/>
              </w:rPr>
            </w:pPr>
            <w:r>
              <w:rPr>
                <w:b/>
                <w:sz w:val="24"/>
              </w:rPr>
              <w:t>Katholische Kirche</w:t>
            </w:r>
          </w:p>
        </w:tc>
        <w:tc>
          <w:tcPr>
            <w:tcW w:w="2280" w:type="dxa"/>
          </w:tcPr>
          <w:p w:rsidR="00CE76CD" w:rsidRDefault="00000000">
            <w:pPr>
              <w:pStyle w:val="TableParagraph"/>
              <w:spacing w:before="6"/>
              <w:rPr>
                <w:sz w:val="24"/>
              </w:rPr>
            </w:pPr>
            <w:r>
              <w:rPr>
                <w:sz w:val="24"/>
              </w:rPr>
              <w:t>ja</w:t>
            </w:r>
          </w:p>
        </w:tc>
        <w:tc>
          <w:tcPr>
            <w:tcW w:w="2448" w:type="dxa"/>
          </w:tcPr>
          <w:p w:rsidR="00CE76CD" w:rsidRDefault="00000000">
            <w:pPr>
              <w:pStyle w:val="TableParagraph"/>
              <w:spacing w:before="6"/>
              <w:rPr>
                <w:sz w:val="24"/>
              </w:rPr>
            </w:pPr>
            <w:r>
              <w:rPr>
                <w:sz w:val="24"/>
              </w:rPr>
              <w:t>nein</w:t>
            </w:r>
          </w:p>
        </w:tc>
        <w:tc>
          <w:tcPr>
            <w:tcW w:w="2275" w:type="dxa"/>
          </w:tcPr>
          <w:p w:rsidR="00CE76CD" w:rsidRDefault="00000000">
            <w:pPr>
              <w:pStyle w:val="TableParagraph"/>
              <w:spacing w:before="6" w:line="360" w:lineRule="auto"/>
              <w:ind w:left="105" w:right="95"/>
              <w:jc w:val="both"/>
              <w:rPr>
                <w:sz w:val="24"/>
              </w:rPr>
            </w:pPr>
            <w:r>
              <w:rPr>
                <w:sz w:val="24"/>
              </w:rPr>
              <w:t xml:space="preserve">Erhaltung und </w:t>
            </w:r>
            <w:proofErr w:type="spellStart"/>
            <w:r>
              <w:rPr>
                <w:sz w:val="24"/>
              </w:rPr>
              <w:t>För</w:t>
            </w:r>
            <w:proofErr w:type="spellEnd"/>
            <w:r>
              <w:rPr>
                <w:sz w:val="24"/>
              </w:rPr>
              <w:t xml:space="preserve">- </w:t>
            </w:r>
            <w:proofErr w:type="spellStart"/>
            <w:r>
              <w:rPr>
                <w:sz w:val="24"/>
              </w:rPr>
              <w:t>derung</w:t>
            </w:r>
            <w:proofErr w:type="spellEnd"/>
            <w:r>
              <w:rPr>
                <w:sz w:val="24"/>
              </w:rPr>
              <w:t xml:space="preserve"> eines </w:t>
            </w:r>
            <w:proofErr w:type="spellStart"/>
            <w:r>
              <w:rPr>
                <w:sz w:val="24"/>
              </w:rPr>
              <w:t>be</w:t>
            </w:r>
            <w:proofErr w:type="spellEnd"/>
            <w:r>
              <w:rPr>
                <w:sz w:val="24"/>
              </w:rPr>
              <w:t xml:space="preserve">- stimmten </w:t>
            </w:r>
            <w:proofErr w:type="spellStart"/>
            <w:r>
              <w:rPr>
                <w:sz w:val="24"/>
              </w:rPr>
              <w:t>individuel</w:t>
            </w:r>
            <w:proofErr w:type="spellEnd"/>
            <w:r>
              <w:rPr>
                <w:sz w:val="24"/>
              </w:rPr>
              <w:t>-</w:t>
            </w:r>
          </w:p>
          <w:p w:rsidR="00CE76CD" w:rsidRDefault="00000000">
            <w:pPr>
              <w:pStyle w:val="TableParagraph"/>
              <w:spacing w:before="0" w:line="272" w:lineRule="exact"/>
              <w:ind w:left="105"/>
              <w:jc w:val="both"/>
              <w:rPr>
                <w:sz w:val="24"/>
              </w:rPr>
            </w:pPr>
            <w:proofErr w:type="spellStart"/>
            <w:r>
              <w:rPr>
                <w:sz w:val="24"/>
              </w:rPr>
              <w:t>len</w:t>
            </w:r>
            <w:proofErr w:type="spellEnd"/>
            <w:r>
              <w:rPr>
                <w:sz w:val="24"/>
              </w:rPr>
              <w:t xml:space="preserve"> Lebens</w:t>
            </w:r>
          </w:p>
        </w:tc>
      </w:tr>
    </w:tbl>
    <w:p w:rsidR="00CE76CD" w:rsidRDefault="00CE76CD">
      <w:pPr>
        <w:pStyle w:val="a3"/>
        <w:rPr>
          <w:sz w:val="20"/>
        </w:rPr>
      </w:pPr>
    </w:p>
    <w:p w:rsidR="00CE76CD" w:rsidRDefault="00C5026E">
      <w:pPr>
        <w:pStyle w:val="a3"/>
        <w:spacing w:before="9"/>
        <w:rPr>
          <w:sz w:val="25"/>
        </w:rPr>
      </w:pPr>
      <w:r>
        <w:pict>
          <v:rect id="_x0000_s2053" alt="" style="position:absolute;margin-left:71.75pt;margin-top:16.8pt;width:2in;height:.5pt;z-index:-15724544;mso-wrap-edited:f;mso-width-percent:0;mso-height-percent:0;mso-wrap-distance-left:0;mso-wrap-distance-right:0;mso-position-horizontal-relative:page;mso-width-percent:0;mso-height-percent:0" fillcolor="black" stroked="f">
            <w10:wrap type="topAndBottom" anchorx="page"/>
          </v:rect>
        </w:pict>
      </w:r>
    </w:p>
    <w:p w:rsidR="00CE76CD" w:rsidRDefault="00000000">
      <w:pPr>
        <w:spacing w:before="77"/>
        <w:ind w:left="235"/>
        <w:rPr>
          <w:sz w:val="20"/>
        </w:rPr>
      </w:pPr>
      <w:r>
        <w:rPr>
          <w:sz w:val="20"/>
          <w:vertAlign w:val="superscript"/>
        </w:rPr>
        <w:t>23</w:t>
      </w:r>
      <w:r>
        <w:rPr>
          <w:sz w:val="20"/>
        </w:rPr>
        <w:t xml:space="preserve"> Vgl. Bild der Wissenschaft (Hrsg.), 2012,</w:t>
      </w:r>
      <w:r>
        <w:rPr>
          <w:spacing w:val="-14"/>
          <w:sz w:val="20"/>
        </w:rPr>
        <w:t xml:space="preserve"> </w:t>
      </w:r>
      <w:proofErr w:type="spellStart"/>
      <w:r>
        <w:rPr>
          <w:sz w:val="20"/>
        </w:rPr>
        <w:t>o.S</w:t>
      </w:r>
      <w:proofErr w:type="spellEnd"/>
      <w:r>
        <w:rPr>
          <w:sz w:val="20"/>
        </w:rPr>
        <w:t>.</w:t>
      </w:r>
    </w:p>
    <w:p w:rsidR="00CE76CD" w:rsidRDefault="00000000">
      <w:pPr>
        <w:ind w:left="235"/>
        <w:rPr>
          <w:sz w:val="20"/>
        </w:rPr>
      </w:pPr>
      <w:r>
        <w:rPr>
          <w:sz w:val="20"/>
          <w:vertAlign w:val="superscript"/>
        </w:rPr>
        <w:t>24</w:t>
      </w:r>
      <w:r>
        <w:rPr>
          <w:sz w:val="20"/>
        </w:rPr>
        <w:t xml:space="preserve"> Vgl. Bild der Wissenschaft (Hrsg.), 2012,</w:t>
      </w:r>
      <w:r>
        <w:rPr>
          <w:spacing w:val="-12"/>
          <w:sz w:val="20"/>
        </w:rPr>
        <w:t xml:space="preserve"> </w:t>
      </w:r>
      <w:proofErr w:type="spellStart"/>
      <w:r>
        <w:rPr>
          <w:sz w:val="20"/>
        </w:rPr>
        <w:t>o.S</w:t>
      </w:r>
      <w:proofErr w:type="spellEnd"/>
      <w:r>
        <w:rPr>
          <w:sz w:val="20"/>
        </w:rPr>
        <w:t>.</w:t>
      </w:r>
    </w:p>
    <w:p w:rsidR="00CE76CD" w:rsidRDefault="00000000">
      <w:pPr>
        <w:spacing w:before="1"/>
        <w:ind w:left="235"/>
        <w:rPr>
          <w:sz w:val="20"/>
        </w:rPr>
      </w:pPr>
      <w:r>
        <w:rPr>
          <w:sz w:val="20"/>
          <w:vertAlign w:val="superscript"/>
        </w:rPr>
        <w:t>25</w:t>
      </w:r>
      <w:r>
        <w:rPr>
          <w:sz w:val="20"/>
        </w:rPr>
        <w:t xml:space="preserve"> Vgl. Deutsche Buddhistische Union (Hrsg.), 2011, </w:t>
      </w:r>
      <w:proofErr w:type="spellStart"/>
      <w:r>
        <w:rPr>
          <w:sz w:val="20"/>
        </w:rPr>
        <w:t>o.S</w:t>
      </w:r>
      <w:proofErr w:type="spellEnd"/>
      <w:r>
        <w:rPr>
          <w:sz w:val="20"/>
        </w:rPr>
        <w:t>.</w:t>
      </w:r>
    </w:p>
    <w:p w:rsidR="00CE76CD" w:rsidRDefault="00000000">
      <w:pPr>
        <w:ind w:left="235"/>
        <w:rPr>
          <w:sz w:val="20"/>
        </w:rPr>
      </w:pPr>
      <w:r>
        <w:rPr>
          <w:sz w:val="20"/>
          <w:vertAlign w:val="superscript"/>
        </w:rPr>
        <w:t>26</w:t>
      </w:r>
      <w:r>
        <w:rPr>
          <w:sz w:val="20"/>
        </w:rPr>
        <w:t xml:space="preserve"> Vgl. Bild der Wissenschaft (Hrsg.), 2012, </w:t>
      </w:r>
      <w:proofErr w:type="spellStart"/>
      <w:r>
        <w:rPr>
          <w:sz w:val="20"/>
        </w:rPr>
        <w:t>o.S</w:t>
      </w:r>
      <w:proofErr w:type="spellEnd"/>
      <w:r>
        <w:rPr>
          <w:sz w:val="20"/>
        </w:rPr>
        <w:t>.</w:t>
      </w:r>
    </w:p>
    <w:p w:rsidR="00CE76CD" w:rsidRDefault="00CE76CD">
      <w:pPr>
        <w:rPr>
          <w:sz w:val="20"/>
        </w:rPr>
        <w:sectPr w:rsidR="00CE76CD">
          <w:pgSz w:w="11910" w:h="16840"/>
          <w:pgMar w:top="1000" w:right="1180" w:bottom="280" w:left="1200" w:header="736" w:footer="0" w:gutter="0"/>
          <w:cols w:space="720"/>
        </w:sectPr>
      </w:pPr>
    </w:p>
    <w:p w:rsidR="00CE76CD" w:rsidRDefault="00CE76CD">
      <w:pPr>
        <w:pStyle w:val="a3"/>
        <w:rPr>
          <w:sz w:val="20"/>
        </w:rPr>
      </w:pPr>
    </w:p>
    <w:p w:rsidR="00CE76CD" w:rsidRDefault="00CE76CD">
      <w:pPr>
        <w:pStyle w:val="a3"/>
        <w:spacing w:before="7"/>
        <w:rPr>
          <w:sz w:val="1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5"/>
        <w:gridCol w:w="2280"/>
        <w:gridCol w:w="2448"/>
        <w:gridCol w:w="2275"/>
      </w:tblGrid>
      <w:tr w:rsidR="00CE76CD">
        <w:trPr>
          <w:trHeight w:val="417"/>
        </w:trPr>
        <w:tc>
          <w:tcPr>
            <w:tcW w:w="2285" w:type="dxa"/>
          </w:tcPr>
          <w:p w:rsidR="00CE76CD" w:rsidRDefault="00000000">
            <w:pPr>
              <w:pStyle w:val="TableParagraph"/>
              <w:rPr>
                <w:b/>
                <w:sz w:val="24"/>
              </w:rPr>
            </w:pPr>
            <w:r>
              <w:rPr>
                <w:b/>
                <w:sz w:val="24"/>
              </w:rPr>
              <w:t>Islam, Judentum</w:t>
            </w:r>
          </w:p>
        </w:tc>
        <w:tc>
          <w:tcPr>
            <w:tcW w:w="2280" w:type="dxa"/>
          </w:tcPr>
          <w:p w:rsidR="00CE76CD" w:rsidRDefault="00000000">
            <w:pPr>
              <w:pStyle w:val="TableParagraph"/>
              <w:rPr>
                <w:sz w:val="24"/>
              </w:rPr>
            </w:pPr>
            <w:r>
              <w:rPr>
                <w:sz w:val="24"/>
              </w:rPr>
              <w:t>nein</w:t>
            </w:r>
          </w:p>
        </w:tc>
        <w:tc>
          <w:tcPr>
            <w:tcW w:w="2448" w:type="dxa"/>
          </w:tcPr>
          <w:p w:rsidR="00CE76CD" w:rsidRDefault="00000000">
            <w:pPr>
              <w:pStyle w:val="TableParagraph"/>
              <w:rPr>
                <w:sz w:val="24"/>
              </w:rPr>
            </w:pPr>
            <w:r>
              <w:rPr>
                <w:sz w:val="24"/>
              </w:rPr>
              <w:t>keine Aussagen</w:t>
            </w:r>
          </w:p>
        </w:tc>
        <w:tc>
          <w:tcPr>
            <w:tcW w:w="2275" w:type="dxa"/>
          </w:tcPr>
          <w:p w:rsidR="00CE76CD" w:rsidRDefault="00000000">
            <w:pPr>
              <w:pStyle w:val="TableParagraph"/>
              <w:ind w:left="105"/>
              <w:rPr>
                <w:sz w:val="24"/>
              </w:rPr>
            </w:pPr>
            <w:r>
              <w:rPr>
                <w:sz w:val="24"/>
              </w:rPr>
              <w:t>vor dem 120. Tag</w:t>
            </w:r>
          </w:p>
        </w:tc>
      </w:tr>
      <w:tr w:rsidR="00CE76CD">
        <w:trPr>
          <w:trHeight w:val="412"/>
        </w:trPr>
        <w:tc>
          <w:tcPr>
            <w:tcW w:w="2285" w:type="dxa"/>
          </w:tcPr>
          <w:p w:rsidR="00CE76CD" w:rsidRDefault="00000000">
            <w:pPr>
              <w:pStyle w:val="TableParagraph"/>
              <w:rPr>
                <w:b/>
                <w:sz w:val="24"/>
              </w:rPr>
            </w:pPr>
            <w:r>
              <w:rPr>
                <w:b/>
                <w:sz w:val="24"/>
              </w:rPr>
              <w:t>Buddhismus</w:t>
            </w:r>
          </w:p>
        </w:tc>
        <w:tc>
          <w:tcPr>
            <w:tcW w:w="2280" w:type="dxa"/>
          </w:tcPr>
          <w:p w:rsidR="00CE76CD" w:rsidRDefault="00000000">
            <w:pPr>
              <w:pStyle w:val="TableParagraph"/>
              <w:rPr>
                <w:sz w:val="24"/>
              </w:rPr>
            </w:pPr>
            <w:r>
              <w:rPr>
                <w:sz w:val="24"/>
              </w:rPr>
              <w:t>nein</w:t>
            </w:r>
          </w:p>
        </w:tc>
        <w:tc>
          <w:tcPr>
            <w:tcW w:w="2448" w:type="dxa"/>
          </w:tcPr>
          <w:p w:rsidR="00CE76CD" w:rsidRDefault="00000000">
            <w:pPr>
              <w:pStyle w:val="TableParagraph"/>
              <w:rPr>
                <w:sz w:val="24"/>
              </w:rPr>
            </w:pPr>
            <w:r>
              <w:rPr>
                <w:sz w:val="24"/>
              </w:rPr>
              <w:t>nein</w:t>
            </w:r>
          </w:p>
        </w:tc>
        <w:tc>
          <w:tcPr>
            <w:tcW w:w="2275" w:type="dxa"/>
          </w:tcPr>
          <w:p w:rsidR="00CE76CD" w:rsidRDefault="00000000">
            <w:pPr>
              <w:pStyle w:val="TableParagraph"/>
              <w:ind w:left="105"/>
              <w:rPr>
                <w:sz w:val="24"/>
              </w:rPr>
            </w:pPr>
            <w:r>
              <w:rPr>
                <w:sz w:val="24"/>
              </w:rPr>
              <w:t>keine Erlaubnis</w:t>
            </w:r>
          </w:p>
        </w:tc>
      </w:tr>
      <w:tr w:rsidR="00CE76CD">
        <w:trPr>
          <w:trHeight w:val="412"/>
        </w:trPr>
        <w:tc>
          <w:tcPr>
            <w:tcW w:w="2285" w:type="dxa"/>
          </w:tcPr>
          <w:p w:rsidR="00CE76CD" w:rsidRDefault="00000000">
            <w:pPr>
              <w:pStyle w:val="TableParagraph"/>
              <w:rPr>
                <w:b/>
                <w:sz w:val="24"/>
              </w:rPr>
            </w:pPr>
            <w:r>
              <w:rPr>
                <w:b/>
                <w:sz w:val="24"/>
              </w:rPr>
              <w:t>Hinduismus</w:t>
            </w:r>
          </w:p>
        </w:tc>
        <w:tc>
          <w:tcPr>
            <w:tcW w:w="2280" w:type="dxa"/>
          </w:tcPr>
          <w:p w:rsidR="00CE76CD" w:rsidRDefault="00000000">
            <w:pPr>
              <w:pStyle w:val="TableParagraph"/>
              <w:rPr>
                <w:sz w:val="24"/>
              </w:rPr>
            </w:pPr>
            <w:r>
              <w:rPr>
                <w:sz w:val="24"/>
              </w:rPr>
              <w:t>nein</w:t>
            </w:r>
          </w:p>
        </w:tc>
        <w:tc>
          <w:tcPr>
            <w:tcW w:w="2448" w:type="dxa"/>
          </w:tcPr>
          <w:p w:rsidR="00CE76CD" w:rsidRDefault="00000000">
            <w:pPr>
              <w:pStyle w:val="TableParagraph"/>
              <w:rPr>
                <w:sz w:val="24"/>
              </w:rPr>
            </w:pPr>
            <w:r>
              <w:rPr>
                <w:sz w:val="24"/>
              </w:rPr>
              <w:t>ja</w:t>
            </w:r>
          </w:p>
        </w:tc>
        <w:tc>
          <w:tcPr>
            <w:tcW w:w="2275" w:type="dxa"/>
          </w:tcPr>
          <w:p w:rsidR="00CE76CD" w:rsidRDefault="00000000">
            <w:pPr>
              <w:pStyle w:val="TableParagraph"/>
              <w:ind w:left="105"/>
              <w:rPr>
                <w:sz w:val="24"/>
              </w:rPr>
            </w:pPr>
            <w:r>
              <w:rPr>
                <w:sz w:val="24"/>
              </w:rPr>
              <w:t>„höheres Wohl“</w:t>
            </w:r>
          </w:p>
        </w:tc>
      </w:tr>
    </w:tbl>
    <w:p w:rsidR="00CE76CD" w:rsidRDefault="00CE76CD">
      <w:pPr>
        <w:pStyle w:val="a3"/>
        <w:rPr>
          <w:sz w:val="20"/>
        </w:rPr>
      </w:pPr>
    </w:p>
    <w:p w:rsidR="00CE76CD" w:rsidRDefault="00CE76CD">
      <w:pPr>
        <w:pStyle w:val="a3"/>
        <w:rPr>
          <w:sz w:val="19"/>
        </w:rPr>
      </w:pPr>
    </w:p>
    <w:p w:rsidR="00CE76CD" w:rsidRDefault="00000000">
      <w:pPr>
        <w:pStyle w:val="a3"/>
        <w:spacing w:before="90" w:line="463" w:lineRule="auto"/>
        <w:ind w:left="235" w:right="3970"/>
      </w:pPr>
      <w:r>
        <w:t>Tabelle 1: Vergleich der Sichtweise der Weltreligionen Quelle: Eigene Darstellung</w:t>
      </w:r>
    </w:p>
    <w:p w:rsidR="00CE76CD" w:rsidRDefault="00000000">
      <w:pPr>
        <w:pStyle w:val="2"/>
        <w:numPr>
          <w:ilvl w:val="1"/>
          <w:numId w:val="1"/>
        </w:numPr>
        <w:tabs>
          <w:tab w:val="left" w:pos="626"/>
        </w:tabs>
        <w:spacing w:before="1"/>
        <w:ind w:left="625" w:hanging="391"/>
      </w:pPr>
      <w:bookmarkStart w:id="9" w:name="_TOC_250003"/>
      <w:r>
        <w:t>Gesellschaftspolitische (ethisch-moralische)</w:t>
      </w:r>
      <w:r>
        <w:rPr>
          <w:spacing w:val="-1"/>
        </w:rPr>
        <w:t xml:space="preserve"> </w:t>
      </w:r>
      <w:bookmarkEnd w:id="9"/>
      <w:r>
        <w:t>Sicht</w:t>
      </w:r>
    </w:p>
    <w:p w:rsidR="00CE76CD" w:rsidRDefault="00CE76CD">
      <w:pPr>
        <w:pStyle w:val="a3"/>
        <w:spacing w:before="7"/>
        <w:rPr>
          <w:b/>
          <w:sz w:val="23"/>
        </w:rPr>
      </w:pPr>
    </w:p>
    <w:p w:rsidR="00CE76CD" w:rsidRDefault="00000000">
      <w:pPr>
        <w:pStyle w:val="a3"/>
        <w:spacing w:line="360" w:lineRule="auto"/>
        <w:ind w:left="235" w:right="218"/>
        <w:jc w:val="both"/>
      </w:pPr>
      <w:r>
        <w:t xml:space="preserve">Aus </w:t>
      </w:r>
      <w:r>
        <w:rPr>
          <w:i/>
        </w:rPr>
        <w:t xml:space="preserve">humanistischer Sicht </w:t>
      </w:r>
      <w:r>
        <w:t xml:space="preserve">hat jeder Mensch das gleiche Recht auf Freiheit sowie </w:t>
      </w:r>
      <w:proofErr w:type="spellStart"/>
      <w:r>
        <w:t>Selbststän</w:t>
      </w:r>
      <w:proofErr w:type="spellEnd"/>
      <w:r>
        <w:t xml:space="preserve">- </w:t>
      </w:r>
      <w:proofErr w:type="spellStart"/>
      <w:r>
        <w:t>digkeit</w:t>
      </w:r>
      <w:proofErr w:type="spellEnd"/>
      <w:r>
        <w:t>, dem entspricht die Menschenwürde nach dem Grundgesetz (Artikel 1, Absatz 1 Grundgesetz (GG)).</w:t>
      </w:r>
      <w:r>
        <w:rPr>
          <w:vertAlign w:val="superscript"/>
        </w:rPr>
        <w:t>27</w:t>
      </w:r>
      <w:r>
        <w:t xml:space="preserve"> Nach der aus der Menschenwürde abzuleitenden </w:t>
      </w:r>
      <w:r>
        <w:rPr>
          <w:i/>
        </w:rPr>
        <w:t xml:space="preserve">absoluten </w:t>
      </w:r>
      <w:proofErr w:type="spellStart"/>
      <w:r>
        <w:rPr>
          <w:i/>
        </w:rPr>
        <w:t>Schutzwür</w:t>
      </w:r>
      <w:proofErr w:type="spellEnd"/>
      <w:r>
        <w:rPr>
          <w:i/>
        </w:rPr>
        <w:t xml:space="preserve">- </w:t>
      </w:r>
      <w:proofErr w:type="spellStart"/>
      <w:r>
        <w:rPr>
          <w:i/>
        </w:rPr>
        <w:t>digkeit</w:t>
      </w:r>
      <w:proofErr w:type="spellEnd"/>
      <w:r>
        <w:rPr>
          <w:i/>
        </w:rPr>
        <w:t xml:space="preserve"> </w:t>
      </w:r>
      <w:r>
        <w:t>besitzt ein als Mensch verstandener Embryo den gleichen Status</w:t>
      </w:r>
      <w:r>
        <w:rPr>
          <w:vertAlign w:val="superscript"/>
        </w:rPr>
        <w:t>28</w:t>
      </w:r>
      <w:r>
        <w:t xml:space="preserve"> wie ein erwachsener Mensch und somit darf er nie für Forschungszwecke verwendet werden.</w:t>
      </w:r>
      <w:r>
        <w:rPr>
          <w:vertAlign w:val="superscript"/>
        </w:rPr>
        <w:t>29</w:t>
      </w:r>
      <w:r>
        <w:t xml:space="preserve"> Bei einer </w:t>
      </w:r>
      <w:proofErr w:type="spellStart"/>
      <w:r>
        <w:rPr>
          <w:i/>
        </w:rPr>
        <w:t>graduel</w:t>
      </w:r>
      <w:proofErr w:type="spellEnd"/>
      <w:r>
        <w:rPr>
          <w:i/>
        </w:rPr>
        <w:t xml:space="preserve">- </w:t>
      </w:r>
      <w:proofErr w:type="spellStart"/>
      <w:r>
        <w:rPr>
          <w:i/>
        </w:rPr>
        <w:t>len</w:t>
      </w:r>
      <w:proofErr w:type="spellEnd"/>
      <w:r>
        <w:rPr>
          <w:i/>
        </w:rPr>
        <w:t xml:space="preserve"> Schutzwürdigkeit </w:t>
      </w:r>
      <w:r>
        <w:t xml:space="preserve">genießt ein Embryo hingegen erst nach der Erreichung einer bestimmten Entwicklungsstufe volle Rechte. Davor gilt die „abgestufte Schutzwürdigkeit“, d.h. die </w:t>
      </w:r>
      <w:proofErr w:type="spellStart"/>
      <w:r>
        <w:t>ver</w:t>
      </w:r>
      <w:proofErr w:type="spellEnd"/>
      <w:r>
        <w:t xml:space="preserve">- brauchende Forschung von Embryonen ist moralisch zulässig, wenn „hochrangige“ </w:t>
      </w:r>
      <w:proofErr w:type="spellStart"/>
      <w:r>
        <w:t>For</w:t>
      </w:r>
      <w:proofErr w:type="spellEnd"/>
      <w:r>
        <w:t xml:space="preserve">- </w:t>
      </w:r>
      <w:proofErr w:type="spellStart"/>
      <w:r>
        <w:t>schungsziele</w:t>
      </w:r>
      <w:proofErr w:type="spellEnd"/>
      <w:r>
        <w:t xml:space="preserve"> verfolgt werden.</w:t>
      </w:r>
      <w:r>
        <w:rPr>
          <w:vertAlign w:val="superscript"/>
        </w:rPr>
        <w:t>30</w:t>
      </w:r>
    </w:p>
    <w:p w:rsidR="00CE76CD" w:rsidRDefault="00000000">
      <w:pPr>
        <w:pStyle w:val="a3"/>
        <w:spacing w:before="120" w:line="360" w:lineRule="auto"/>
        <w:ind w:left="235" w:right="218"/>
        <w:jc w:val="both"/>
      </w:pPr>
      <w:r>
        <w:t xml:space="preserve">Aus Sicht der „World Health Organisation“ (WHO), die die </w:t>
      </w:r>
      <w:r>
        <w:rPr>
          <w:i/>
        </w:rPr>
        <w:t xml:space="preserve">politische Sicht </w:t>
      </w:r>
      <w:r>
        <w:t xml:space="preserve">um die Embryo- </w:t>
      </w:r>
      <w:proofErr w:type="spellStart"/>
      <w:r>
        <w:t>nenforschung</w:t>
      </w:r>
      <w:proofErr w:type="spellEnd"/>
      <w:r>
        <w:t xml:space="preserve"> prägt, gilt, dass zum Schutz der Familie auch der Schutz des ungeborenen Le- </w:t>
      </w:r>
      <w:proofErr w:type="spellStart"/>
      <w:r>
        <w:t>bens</w:t>
      </w:r>
      <w:proofErr w:type="spellEnd"/>
      <w:r>
        <w:t xml:space="preserve"> relevant ist.</w:t>
      </w:r>
      <w:r>
        <w:rPr>
          <w:vertAlign w:val="superscript"/>
        </w:rPr>
        <w:t>31</w:t>
      </w:r>
      <w:r>
        <w:t xml:space="preserve"> Diese Sichtweise basiert auf der von der WHO initiierte Strategien „Ge- </w:t>
      </w:r>
      <w:proofErr w:type="spellStart"/>
      <w:r>
        <w:t>sundheit</w:t>
      </w:r>
      <w:proofErr w:type="spellEnd"/>
      <w:r>
        <w:t xml:space="preserve"> 21“ aus dem Jahre 1998, die in Kopenhagen verabschiedet wurde.</w:t>
      </w:r>
      <w:r>
        <w:rPr>
          <w:vertAlign w:val="superscript"/>
        </w:rPr>
        <w:t>32</w:t>
      </w:r>
    </w:p>
    <w:p w:rsidR="00CE76CD" w:rsidRDefault="00000000">
      <w:pPr>
        <w:pStyle w:val="a3"/>
        <w:spacing w:before="120" w:line="360" w:lineRule="auto"/>
        <w:ind w:left="235" w:right="218"/>
        <w:jc w:val="both"/>
      </w:pPr>
      <w:r>
        <w:t xml:space="preserve">Die </w:t>
      </w:r>
      <w:r>
        <w:rPr>
          <w:i/>
        </w:rPr>
        <w:t xml:space="preserve">philosophische Sicht </w:t>
      </w:r>
      <w:r>
        <w:t xml:space="preserve">zu Embryonenforschung wird u.a. geprägt von den Aussagen von Peter Singer. Nach Singer gilt, dass solange der menschliche Embryo nicht die Fähigkeit hat, Schmerzen zu empfinden, man ihm kein Leid zufügen kann. Nach Singer sind daher </w:t>
      </w:r>
      <w:proofErr w:type="spellStart"/>
      <w:r>
        <w:t>Versu</w:t>
      </w:r>
      <w:proofErr w:type="spellEnd"/>
      <w:r>
        <w:t xml:space="preserve">- </w:t>
      </w:r>
      <w:proofErr w:type="spellStart"/>
      <w:r>
        <w:t>che</w:t>
      </w:r>
      <w:proofErr w:type="spellEnd"/>
      <w:r>
        <w:t xml:space="preserve"> mit Embryonen bis zum 28. Entwicklungstag erlaubt.</w:t>
      </w:r>
      <w:r>
        <w:rPr>
          <w:vertAlign w:val="superscript"/>
        </w:rPr>
        <w:t>33</w:t>
      </w: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5026E">
      <w:pPr>
        <w:pStyle w:val="a3"/>
        <w:spacing w:before="7"/>
        <w:rPr>
          <w:sz w:val="26"/>
        </w:rPr>
      </w:pPr>
      <w:r>
        <w:pict>
          <v:rect id="_x0000_s2052" alt="" style="position:absolute;margin-left:71.75pt;margin-top:17.3pt;width:2in;height:.5pt;z-index:-15724032;mso-wrap-edited:f;mso-width-percent:0;mso-height-percent:0;mso-wrap-distance-left:0;mso-wrap-distance-right:0;mso-position-horizontal-relative:page;mso-width-percent:0;mso-height-percent:0" fillcolor="black" stroked="f">
            <w10:wrap type="topAndBottom" anchorx="page"/>
          </v:rect>
        </w:pict>
      </w:r>
    </w:p>
    <w:p w:rsidR="00CE76CD" w:rsidRDefault="00000000">
      <w:pPr>
        <w:spacing w:before="82" w:line="228" w:lineRule="exact"/>
        <w:ind w:left="235"/>
        <w:rPr>
          <w:sz w:val="20"/>
        </w:rPr>
      </w:pPr>
      <w:r>
        <w:rPr>
          <w:sz w:val="20"/>
          <w:vertAlign w:val="superscript"/>
        </w:rPr>
        <w:t>27</w:t>
      </w:r>
      <w:r>
        <w:rPr>
          <w:sz w:val="20"/>
        </w:rPr>
        <w:t xml:space="preserve"> Vgl. Pörtner, 1999, </w:t>
      </w:r>
      <w:proofErr w:type="spellStart"/>
      <w:r>
        <w:rPr>
          <w:sz w:val="20"/>
        </w:rPr>
        <w:t>o.S</w:t>
      </w:r>
      <w:proofErr w:type="spellEnd"/>
      <w:r>
        <w:rPr>
          <w:sz w:val="20"/>
        </w:rPr>
        <w:t>.</w:t>
      </w:r>
    </w:p>
    <w:p w:rsidR="00CE76CD" w:rsidRDefault="00000000">
      <w:pPr>
        <w:spacing w:line="228" w:lineRule="exact"/>
        <w:ind w:left="235"/>
        <w:rPr>
          <w:sz w:val="20"/>
        </w:rPr>
      </w:pPr>
      <w:r>
        <w:rPr>
          <w:sz w:val="20"/>
          <w:vertAlign w:val="superscript"/>
        </w:rPr>
        <w:t>28</w:t>
      </w:r>
      <w:r>
        <w:rPr>
          <w:sz w:val="20"/>
        </w:rPr>
        <w:t xml:space="preserve"> Vgl. Beckmann, 1987, S.</w:t>
      </w:r>
      <w:r>
        <w:rPr>
          <w:spacing w:val="-7"/>
          <w:sz w:val="20"/>
        </w:rPr>
        <w:t xml:space="preserve"> </w:t>
      </w:r>
      <w:r>
        <w:rPr>
          <w:sz w:val="20"/>
        </w:rPr>
        <w:t>80-86</w:t>
      </w:r>
    </w:p>
    <w:p w:rsidR="00CE76CD" w:rsidRDefault="00000000">
      <w:pPr>
        <w:ind w:left="235"/>
        <w:rPr>
          <w:sz w:val="20"/>
        </w:rPr>
      </w:pPr>
      <w:r>
        <w:rPr>
          <w:sz w:val="20"/>
          <w:vertAlign w:val="superscript"/>
        </w:rPr>
        <w:t>29</w:t>
      </w:r>
      <w:r>
        <w:rPr>
          <w:sz w:val="20"/>
        </w:rPr>
        <w:t xml:space="preserve"> Vgl. Beckmann, 1987, S.</w:t>
      </w:r>
      <w:r>
        <w:rPr>
          <w:spacing w:val="-7"/>
          <w:sz w:val="20"/>
        </w:rPr>
        <w:t xml:space="preserve"> </w:t>
      </w:r>
      <w:r>
        <w:rPr>
          <w:sz w:val="20"/>
        </w:rPr>
        <w:t>80-86</w:t>
      </w:r>
    </w:p>
    <w:p w:rsidR="00CE76CD" w:rsidRDefault="00000000">
      <w:pPr>
        <w:ind w:left="235"/>
        <w:rPr>
          <w:sz w:val="20"/>
        </w:rPr>
      </w:pPr>
      <w:r>
        <w:rPr>
          <w:sz w:val="20"/>
          <w:vertAlign w:val="superscript"/>
        </w:rPr>
        <w:t>30</w:t>
      </w:r>
      <w:r>
        <w:rPr>
          <w:sz w:val="20"/>
        </w:rPr>
        <w:t xml:space="preserve"> Vgl. </w:t>
      </w:r>
      <w:proofErr w:type="spellStart"/>
      <w:r>
        <w:rPr>
          <w:sz w:val="20"/>
        </w:rPr>
        <w:t>Grotfeld</w:t>
      </w:r>
      <w:proofErr w:type="spellEnd"/>
      <w:r>
        <w:rPr>
          <w:sz w:val="20"/>
        </w:rPr>
        <w:t>, 2000, S. 29</w:t>
      </w:r>
    </w:p>
    <w:p w:rsidR="00CE76CD" w:rsidRDefault="00000000">
      <w:pPr>
        <w:spacing w:before="1"/>
        <w:ind w:left="235"/>
        <w:rPr>
          <w:sz w:val="20"/>
        </w:rPr>
      </w:pPr>
      <w:r>
        <w:rPr>
          <w:sz w:val="20"/>
          <w:vertAlign w:val="superscript"/>
        </w:rPr>
        <w:t>31</w:t>
      </w:r>
      <w:r>
        <w:rPr>
          <w:sz w:val="20"/>
        </w:rPr>
        <w:t xml:space="preserve"> Vgl. Eibach, 2005, S. 226 f.; WHO (Hrsg.), 2000, S. 2 ff.</w:t>
      </w:r>
    </w:p>
    <w:p w:rsidR="00CE76CD" w:rsidRDefault="00000000">
      <w:pPr>
        <w:ind w:left="235"/>
        <w:rPr>
          <w:sz w:val="20"/>
        </w:rPr>
      </w:pPr>
      <w:r>
        <w:rPr>
          <w:sz w:val="20"/>
          <w:vertAlign w:val="superscript"/>
        </w:rPr>
        <w:t>32</w:t>
      </w:r>
      <w:r>
        <w:rPr>
          <w:sz w:val="20"/>
        </w:rPr>
        <w:t xml:space="preserve"> Vgl. WHO (Hrsg.), 2000, S. 2 ff.</w:t>
      </w:r>
    </w:p>
    <w:p w:rsidR="00CE76CD" w:rsidRDefault="00000000">
      <w:pPr>
        <w:spacing w:before="1"/>
        <w:ind w:left="235"/>
        <w:rPr>
          <w:sz w:val="20"/>
        </w:rPr>
      </w:pPr>
      <w:r>
        <w:rPr>
          <w:sz w:val="20"/>
          <w:vertAlign w:val="superscript"/>
        </w:rPr>
        <w:t>33</w:t>
      </w:r>
      <w:r>
        <w:rPr>
          <w:sz w:val="20"/>
        </w:rPr>
        <w:t xml:space="preserve"> Vgl. Singer, 1995, S. 83-87; </w:t>
      </w:r>
      <w:proofErr w:type="spellStart"/>
      <w:r>
        <w:rPr>
          <w:sz w:val="20"/>
        </w:rPr>
        <w:t>Warnock</w:t>
      </w:r>
      <w:proofErr w:type="spellEnd"/>
      <w:r>
        <w:rPr>
          <w:sz w:val="20"/>
        </w:rPr>
        <w:t>, 1988, S. 1 ff.</w:t>
      </w:r>
    </w:p>
    <w:p w:rsidR="00CE76CD" w:rsidRDefault="00CE76CD">
      <w:pPr>
        <w:rPr>
          <w:sz w:val="20"/>
        </w:rPr>
        <w:sectPr w:rsidR="00CE76CD">
          <w:pgSz w:w="11910" w:h="16840"/>
          <w:pgMar w:top="1000" w:right="1180" w:bottom="280" w:left="1200" w:header="736" w:footer="0" w:gutter="0"/>
          <w:cols w:space="720"/>
        </w:sectPr>
      </w:pPr>
    </w:p>
    <w:p w:rsidR="00CE76CD" w:rsidRDefault="00CE76CD">
      <w:pPr>
        <w:pStyle w:val="a3"/>
        <w:rPr>
          <w:sz w:val="20"/>
        </w:rPr>
      </w:pPr>
    </w:p>
    <w:p w:rsidR="00CE76CD" w:rsidRDefault="00000000">
      <w:pPr>
        <w:pStyle w:val="2"/>
        <w:numPr>
          <w:ilvl w:val="1"/>
          <w:numId w:val="1"/>
        </w:numPr>
        <w:tabs>
          <w:tab w:val="left" w:pos="625"/>
        </w:tabs>
        <w:spacing w:before="205"/>
      </w:pPr>
      <w:bookmarkStart w:id="10" w:name="_TOC_250002"/>
      <w:r>
        <w:t>Ökonomische</w:t>
      </w:r>
      <w:r>
        <w:rPr>
          <w:spacing w:val="-1"/>
        </w:rPr>
        <w:t xml:space="preserve"> </w:t>
      </w:r>
      <w:bookmarkEnd w:id="10"/>
      <w:r>
        <w:t>Sicht</w:t>
      </w:r>
    </w:p>
    <w:p w:rsidR="00CE76CD" w:rsidRDefault="00CE76CD">
      <w:pPr>
        <w:pStyle w:val="a3"/>
        <w:spacing w:before="7"/>
        <w:rPr>
          <w:b/>
          <w:sz w:val="23"/>
        </w:rPr>
      </w:pPr>
    </w:p>
    <w:p w:rsidR="00CE76CD" w:rsidRDefault="00000000">
      <w:pPr>
        <w:pStyle w:val="a3"/>
        <w:spacing w:line="360" w:lineRule="auto"/>
        <w:ind w:left="235" w:right="218"/>
        <w:jc w:val="both"/>
      </w:pPr>
      <w:r>
        <w:t xml:space="preserve">Die ökonomische Sicht auf die Embryonenforschung wird </w:t>
      </w:r>
      <w:proofErr w:type="spellStart"/>
      <w:r>
        <w:t>i.W</w:t>
      </w:r>
      <w:proofErr w:type="spellEnd"/>
      <w:r>
        <w:t xml:space="preserve">. geprägt von der Diskussion um die Generierung von Gewinnen bzw. die Entwicklung von Medikamenten mit Hilfe der Embryonenforschung, was in einem späteren Stadium zu Patenten mit strategischer </w:t>
      </w:r>
      <w:proofErr w:type="spellStart"/>
      <w:r>
        <w:t>Bedeu</w:t>
      </w:r>
      <w:proofErr w:type="spellEnd"/>
      <w:r>
        <w:t xml:space="preserve">- </w:t>
      </w:r>
      <w:proofErr w:type="spellStart"/>
      <w:r>
        <w:t>tung</w:t>
      </w:r>
      <w:proofErr w:type="spellEnd"/>
      <w:r>
        <w:t xml:space="preserve"> und entsprechenden Gewinnsicherungen führen könnte.</w:t>
      </w:r>
      <w:r>
        <w:rPr>
          <w:vertAlign w:val="superscript"/>
        </w:rPr>
        <w:t>34</w:t>
      </w:r>
      <w:r>
        <w:t xml:space="preserve"> Dabei wird insbesondere die Behandlung von Krankheiten wie Diabetes, Parkinson und der Schädigung von Gewebe er- wähnt.</w:t>
      </w:r>
      <w:r>
        <w:rPr>
          <w:vertAlign w:val="superscript"/>
        </w:rPr>
        <w:t>35</w:t>
      </w:r>
    </w:p>
    <w:p w:rsidR="00CE76CD" w:rsidRDefault="00000000">
      <w:pPr>
        <w:pStyle w:val="a3"/>
        <w:spacing w:before="118" w:line="360" w:lineRule="auto"/>
        <w:ind w:left="235" w:right="218"/>
        <w:jc w:val="both"/>
      </w:pPr>
      <w:r>
        <w:t xml:space="preserve">Daher spielt die pharmazeutische Industrie und ihr Handeln eine zentrale Rolle, wenn es um die Bewertung von Embryonenforschung aus ökonomischer Sicht geht. Aus diesem Blick- </w:t>
      </w:r>
      <w:proofErr w:type="spellStart"/>
      <w:r>
        <w:t>winkel</w:t>
      </w:r>
      <w:proofErr w:type="spellEnd"/>
      <w:r>
        <w:t xml:space="preserve"> tritt der Mensch nicht als Zerstörer einer Natur auf, sondern als Retter durch eine in- </w:t>
      </w:r>
      <w:proofErr w:type="spellStart"/>
      <w:r>
        <w:t>strumentell</w:t>
      </w:r>
      <w:proofErr w:type="spellEnd"/>
      <w:r>
        <w:t>-technisch geprägte Vernunft.</w:t>
      </w:r>
      <w:r>
        <w:rPr>
          <w:vertAlign w:val="superscript"/>
        </w:rPr>
        <w:t>36</w:t>
      </w:r>
      <w:r>
        <w:t xml:space="preserve"> Die forschungsstärksten Staaten in diesem Kontext sind Deutschland, Großbritannien und die Vereinigten Staaten von Amerika. Die Perspektive der ökonomischen Embryonenforschung entspricht am ehesten der utilitaristischen Ethik.</w:t>
      </w:r>
      <w:r>
        <w:rPr>
          <w:vertAlign w:val="superscript"/>
        </w:rPr>
        <w:t>37</w:t>
      </w:r>
    </w:p>
    <w:p w:rsidR="00CE76CD" w:rsidRDefault="00000000">
      <w:pPr>
        <w:pStyle w:val="a3"/>
        <w:spacing w:before="122" w:line="360" w:lineRule="auto"/>
        <w:ind w:left="235" w:right="218"/>
        <w:jc w:val="both"/>
      </w:pPr>
      <w:r>
        <w:t xml:space="preserve">Dabei gilt heutzutage (2018) als an der weitesten verbreiteten Auffassung, dass die Resultate, die aus der embryonalen Stammzellenforschung zu erwarten sind, realistisch einzuschätzen sind und die Forschung als Testfeld angesehen wird. Diese eher nüchterne Sichtweise ist auf den Skandal um den südkoreanischen Forscher </w:t>
      </w:r>
      <w:proofErr w:type="spellStart"/>
      <w:r>
        <w:t>Woosuk</w:t>
      </w:r>
      <w:proofErr w:type="spellEnd"/>
      <w:r>
        <w:t xml:space="preserve"> Hwang zurückzuführen, der </w:t>
      </w:r>
      <w:proofErr w:type="spellStart"/>
      <w:r>
        <w:t>spekta</w:t>
      </w:r>
      <w:proofErr w:type="spellEnd"/>
      <w:r>
        <w:t xml:space="preserve">- </w:t>
      </w:r>
      <w:proofErr w:type="spellStart"/>
      <w:r>
        <w:t>kuläre</w:t>
      </w:r>
      <w:proofErr w:type="spellEnd"/>
      <w:r>
        <w:t xml:space="preserve"> Ergebnisse im Hinblick auf die Heilung von Krankheiten durch Embryonenforschung lieferte, von denen sich im Nachgang aber herausstellte, dass diese komplett gefälscht </w:t>
      </w:r>
      <w:proofErr w:type="spellStart"/>
      <w:r>
        <w:t>wa</w:t>
      </w:r>
      <w:proofErr w:type="spellEnd"/>
      <w:r>
        <w:t>- ren.</w:t>
      </w:r>
      <w:r>
        <w:rPr>
          <w:vertAlign w:val="superscript"/>
        </w:rPr>
        <w:t>38</w:t>
      </w: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E76CD">
      <w:pPr>
        <w:pStyle w:val="a3"/>
        <w:rPr>
          <w:sz w:val="20"/>
        </w:rPr>
      </w:pPr>
    </w:p>
    <w:p w:rsidR="00CE76CD" w:rsidRDefault="00C5026E">
      <w:pPr>
        <w:pStyle w:val="a3"/>
        <w:spacing w:before="6"/>
        <w:rPr>
          <w:sz w:val="25"/>
        </w:rPr>
      </w:pPr>
      <w:r>
        <w:pict>
          <v:rect id="_x0000_s2051" alt="" style="position:absolute;margin-left:71.75pt;margin-top:16.65pt;width:2in;height:.5pt;z-index:-15723520;mso-wrap-edited:f;mso-width-percent:0;mso-height-percent:0;mso-wrap-distance-left:0;mso-wrap-distance-right:0;mso-position-horizontal-relative:page;mso-width-percent:0;mso-height-percent:0" fillcolor="black" stroked="f">
            <w10:wrap type="topAndBottom" anchorx="page"/>
          </v:rect>
        </w:pict>
      </w:r>
    </w:p>
    <w:p w:rsidR="00CE76CD" w:rsidRDefault="00000000">
      <w:pPr>
        <w:spacing w:before="77"/>
        <w:ind w:left="235"/>
        <w:rPr>
          <w:sz w:val="20"/>
        </w:rPr>
      </w:pPr>
      <w:r>
        <w:rPr>
          <w:sz w:val="20"/>
          <w:vertAlign w:val="superscript"/>
        </w:rPr>
        <w:t>34</w:t>
      </w:r>
      <w:r>
        <w:rPr>
          <w:sz w:val="20"/>
        </w:rPr>
        <w:t xml:space="preserve"> Vgl. Eser, Koch, 2003, S. 46 ff.</w:t>
      </w:r>
    </w:p>
    <w:p w:rsidR="00CE76CD" w:rsidRDefault="00000000">
      <w:pPr>
        <w:ind w:left="235"/>
        <w:rPr>
          <w:sz w:val="20"/>
        </w:rPr>
      </w:pPr>
      <w:r>
        <w:rPr>
          <w:sz w:val="20"/>
          <w:vertAlign w:val="superscript"/>
        </w:rPr>
        <w:t>35</w:t>
      </w:r>
      <w:r>
        <w:rPr>
          <w:sz w:val="20"/>
        </w:rPr>
        <w:t xml:space="preserve"> Vgl. CECE Europe (Hrsg.), o.J., S. 65 f.</w:t>
      </w:r>
    </w:p>
    <w:p w:rsidR="00CE76CD" w:rsidRDefault="00000000">
      <w:pPr>
        <w:spacing w:before="1"/>
        <w:ind w:left="235"/>
        <w:rPr>
          <w:sz w:val="20"/>
        </w:rPr>
      </w:pPr>
      <w:r>
        <w:rPr>
          <w:sz w:val="20"/>
          <w:vertAlign w:val="superscript"/>
        </w:rPr>
        <w:t>36</w:t>
      </w:r>
      <w:r>
        <w:rPr>
          <w:sz w:val="20"/>
        </w:rPr>
        <w:t xml:space="preserve"> Eibach, 2005, S. 179</w:t>
      </w:r>
    </w:p>
    <w:p w:rsidR="00CE76CD" w:rsidRDefault="00000000">
      <w:pPr>
        <w:ind w:left="235"/>
        <w:rPr>
          <w:sz w:val="20"/>
        </w:rPr>
      </w:pPr>
      <w:r>
        <w:rPr>
          <w:sz w:val="20"/>
          <w:vertAlign w:val="superscript"/>
        </w:rPr>
        <w:t>37</w:t>
      </w:r>
      <w:r>
        <w:rPr>
          <w:sz w:val="20"/>
        </w:rPr>
        <w:t xml:space="preserve"> Vgl. </w:t>
      </w:r>
      <w:proofErr w:type="spellStart"/>
      <w:r>
        <w:rPr>
          <w:sz w:val="20"/>
        </w:rPr>
        <w:t>Dikiciler</w:t>
      </w:r>
      <w:proofErr w:type="spellEnd"/>
      <w:r>
        <w:rPr>
          <w:sz w:val="20"/>
        </w:rPr>
        <w:t>, 2010, Abstract</w:t>
      </w:r>
    </w:p>
    <w:p w:rsidR="00CE76CD" w:rsidRDefault="00000000">
      <w:pPr>
        <w:ind w:left="235"/>
        <w:rPr>
          <w:sz w:val="20"/>
        </w:rPr>
      </w:pPr>
      <w:r>
        <w:rPr>
          <w:sz w:val="20"/>
          <w:vertAlign w:val="superscript"/>
        </w:rPr>
        <w:t>38</w:t>
      </w:r>
      <w:r>
        <w:rPr>
          <w:sz w:val="20"/>
        </w:rPr>
        <w:t xml:space="preserve"> Vgl. CECE Europe (Hrsg.), o.J., S. 65 f.</w:t>
      </w:r>
    </w:p>
    <w:p w:rsidR="00CE76CD" w:rsidRDefault="00CE76CD">
      <w:pPr>
        <w:rPr>
          <w:sz w:val="20"/>
        </w:rPr>
        <w:sectPr w:rsidR="00CE76CD">
          <w:pgSz w:w="11910" w:h="16840"/>
          <w:pgMar w:top="1000" w:right="1180" w:bottom="280" w:left="1200" w:header="736" w:footer="0" w:gutter="0"/>
          <w:cols w:space="720"/>
        </w:sectPr>
      </w:pPr>
    </w:p>
    <w:p w:rsidR="00CE76CD" w:rsidRDefault="00CE76CD">
      <w:pPr>
        <w:pStyle w:val="a3"/>
        <w:spacing w:before="10"/>
        <w:rPr>
          <w:sz w:val="29"/>
        </w:rPr>
      </w:pPr>
    </w:p>
    <w:p w:rsidR="00CE76CD" w:rsidRDefault="00000000">
      <w:pPr>
        <w:pStyle w:val="1"/>
        <w:numPr>
          <w:ilvl w:val="0"/>
          <w:numId w:val="1"/>
        </w:numPr>
        <w:tabs>
          <w:tab w:val="left" w:pos="445"/>
        </w:tabs>
        <w:ind w:left="444"/>
        <w:jc w:val="both"/>
      </w:pPr>
      <w:bookmarkStart w:id="11" w:name="_TOC_250001"/>
      <w:bookmarkEnd w:id="11"/>
      <w:r>
        <w:t>Fazit</w:t>
      </w:r>
    </w:p>
    <w:p w:rsidR="00CE76CD" w:rsidRDefault="00CE76CD">
      <w:pPr>
        <w:pStyle w:val="a3"/>
        <w:spacing w:before="10"/>
        <w:rPr>
          <w:b/>
        </w:rPr>
      </w:pPr>
    </w:p>
    <w:p w:rsidR="00675FC3" w:rsidRDefault="00675FC3" w:rsidP="00675FC3">
      <w:pPr>
        <w:pStyle w:val="a3"/>
        <w:spacing w:before="117" w:line="360" w:lineRule="auto"/>
        <w:ind w:left="235" w:right="218"/>
        <w:jc w:val="both"/>
      </w:pPr>
      <w:r>
        <w:t>Im Rahmen der vorliegenden Arbeit wurden verschiedene Aspekte und Sichtweisen präsentiert, nach denen die Embryonenforschung bewertet werden kann. So wurde die Forschungsfrage dieser Arbeit beantwortet: Während die deutschen Kirchen grundsätzlich Embryonenforschung ablehnen, sehen andere Religionen eine Erlaubnis bis zu einem bestimmten Alter (Woche) der Embryonen als gegeben an. Dabei wurde deutlich, dass die evangelische Kirche – im Gegensatz zur römisch-katholischen Kirche – kein institutionelles Lehramt vertritt und daher auch keine einheitliche Sichtweise zur Fragestellung existiert. Die katholische Kirche hingegen präsentiert ein Lehramt und vertritt die Meinung, dass ungeborenes Leben einen Anspruch auf Schutz hat, was bedeutet, dass Forschung an einem ungeborenen Leben nur dann geduldet wird, wenn diese der Erhaltung von Leben dient.</w:t>
      </w:r>
    </w:p>
    <w:p w:rsidR="00675FC3" w:rsidRDefault="00675FC3" w:rsidP="00675FC3">
      <w:pPr>
        <w:pStyle w:val="a3"/>
        <w:spacing w:before="117" w:line="360" w:lineRule="auto"/>
        <w:ind w:left="235" w:right="218"/>
        <w:jc w:val="both"/>
      </w:pPr>
      <w:r>
        <w:t>Die gesellschaftspolitische Sicht ist geprägt von Regelungen aus der Judikatur und einem ethisch-moralischen Verständnis, das auf dem Gesundheitsverständnis der WHO aufbaut. Die hierfür relevante vom WHO Regionalkomitee Europa initiierte Strategie „Gesundheit 21“ wurde 1998 in Kopenhagen mit der Hauptagenda verabschiedet, die entscheidenden Voraussetzungen dafür zu schaffen, dass die europäische Bevölkerung dem Leitgedanken getreu ist.</w:t>
      </w:r>
    </w:p>
    <w:p w:rsidR="00675FC3" w:rsidRDefault="00675FC3" w:rsidP="00675FC3">
      <w:pPr>
        <w:pStyle w:val="a3"/>
        <w:spacing w:before="117" w:line="360" w:lineRule="auto"/>
        <w:ind w:left="235" w:right="218"/>
        <w:jc w:val="both"/>
      </w:pPr>
      <w:r>
        <w:t>„Gesundheit für alle“ das höchstmögliche Gesundheitsniveau erreicht. Darauf aufbauend ist insbesondere das humanistische Weltbild zu erwähnen, dass davon geprägt ist, dass der Mensch nicht als Resultat einer göttlichen Schöpfung angesehen wird, sondern als ein Lebewesen, das aus einer biologischen Evolution hervorgegangen ist. Dabei hat jeder Mensch das gleiche Recht auf Freiheit sowie Selbständigkeit und damit alle Entscheidungen, die das Leben betreffen bzw. beeinflussen.39 Hieraus ergibt sich eine entsprechende Schutzwürdigkeit des menschlichen Lebens, das in eine absolute und eine graduelle Schutzwürdigkeit unterschieden werden kann.</w:t>
      </w:r>
    </w:p>
    <w:p w:rsidR="00675FC3" w:rsidRDefault="00675FC3" w:rsidP="00675FC3">
      <w:pPr>
        <w:pStyle w:val="a3"/>
        <w:spacing w:before="117" w:line="360" w:lineRule="auto"/>
        <w:ind w:left="235" w:right="218"/>
        <w:jc w:val="both"/>
      </w:pPr>
      <w:r>
        <w:t>Ökonomisch steht eine eher nüchterne Betrachtungsweise von Embryonenforschung im Vordergrund, die eine Möglichkeit der Generierung des „schnellen Geldes“ eher verneint.</w:t>
      </w:r>
    </w:p>
    <w:p w:rsidR="00675FC3" w:rsidRPr="00500635" w:rsidRDefault="00675FC3" w:rsidP="00675FC3">
      <w:pPr>
        <w:pStyle w:val="a3"/>
        <w:spacing w:before="117" w:line="360" w:lineRule="auto"/>
        <w:ind w:left="235" w:right="218"/>
        <w:jc w:val="both"/>
        <w:rPr>
          <w:lang w:val="ru-RU"/>
        </w:rPr>
      </w:pPr>
      <w:r>
        <w:t xml:space="preserve">Vor diesem Hintergrund erscheint es sinnvoll, die Debatte um die Embryonenforschung möglichst offen und wenig emotional zu führen. Eine konsequente Ausrichtung an einem Standpunkt erscheint dabei genauso wenig zielführend wie </w:t>
      </w:r>
      <w:proofErr w:type="gramStart"/>
      <w:r>
        <w:t>eine zu offen und zu breit geführte Diskussion</w:t>
      </w:r>
      <w:proofErr w:type="gramEnd"/>
      <w:r>
        <w:t>.</w:t>
      </w:r>
    </w:p>
    <w:p w:rsidR="00CE76CD" w:rsidRPr="00675FC3" w:rsidRDefault="00CE76CD">
      <w:pPr>
        <w:pStyle w:val="a3"/>
        <w:rPr>
          <w:sz w:val="20"/>
          <w:lang w:val="ru-BY"/>
        </w:rPr>
      </w:pPr>
    </w:p>
    <w:p w:rsidR="00CE76CD" w:rsidRDefault="00C5026E">
      <w:pPr>
        <w:pStyle w:val="a3"/>
        <w:spacing w:before="4"/>
        <w:rPr>
          <w:sz w:val="12"/>
        </w:rPr>
      </w:pPr>
      <w:r>
        <w:pict>
          <v:rect id="_x0000_s2050" alt="" style="position:absolute;margin-left:71.75pt;margin-top:9.1pt;width:2in;height:.5pt;z-index:-15723008;mso-wrap-edited:f;mso-width-percent:0;mso-height-percent:0;mso-wrap-distance-left:0;mso-wrap-distance-right:0;mso-position-horizontal-relative:page;mso-width-percent:0;mso-height-percent:0" fillcolor="black" stroked="f">
            <w10:wrap type="topAndBottom" anchorx="page"/>
          </v:rect>
        </w:pict>
      </w:r>
    </w:p>
    <w:p w:rsidR="00CE76CD" w:rsidRDefault="00000000">
      <w:pPr>
        <w:spacing w:before="77"/>
        <w:ind w:left="235"/>
        <w:rPr>
          <w:sz w:val="20"/>
        </w:rPr>
      </w:pPr>
      <w:r>
        <w:rPr>
          <w:sz w:val="20"/>
          <w:vertAlign w:val="superscript"/>
        </w:rPr>
        <w:t>39</w:t>
      </w:r>
      <w:r>
        <w:rPr>
          <w:sz w:val="20"/>
        </w:rPr>
        <w:t xml:space="preserve"> Vgl. Pörtner, 1999, </w:t>
      </w:r>
      <w:proofErr w:type="spellStart"/>
      <w:r>
        <w:rPr>
          <w:sz w:val="20"/>
        </w:rPr>
        <w:t>o.S</w:t>
      </w:r>
      <w:proofErr w:type="spellEnd"/>
      <w:r>
        <w:rPr>
          <w:sz w:val="20"/>
        </w:rPr>
        <w:t>.</w:t>
      </w:r>
    </w:p>
    <w:p w:rsidR="00CE76CD" w:rsidRDefault="00CE76CD">
      <w:pPr>
        <w:rPr>
          <w:sz w:val="20"/>
        </w:rPr>
        <w:sectPr w:rsidR="00CE76CD">
          <w:pgSz w:w="11910" w:h="16840"/>
          <w:pgMar w:top="1000" w:right="1180" w:bottom="280" w:left="1200" w:header="736" w:footer="0" w:gutter="0"/>
          <w:cols w:space="720"/>
        </w:sectPr>
      </w:pPr>
    </w:p>
    <w:p w:rsidR="00CE76CD" w:rsidRDefault="00CE76CD">
      <w:pPr>
        <w:pStyle w:val="a3"/>
        <w:spacing w:before="10"/>
        <w:rPr>
          <w:sz w:val="29"/>
        </w:rPr>
      </w:pPr>
    </w:p>
    <w:p w:rsidR="00CE76CD" w:rsidRDefault="00000000">
      <w:pPr>
        <w:pStyle w:val="1"/>
      </w:pPr>
      <w:bookmarkStart w:id="12" w:name="_TOC_250000"/>
      <w:bookmarkEnd w:id="12"/>
      <w:r>
        <w:t>Literaturverzeichnis</w:t>
      </w:r>
    </w:p>
    <w:p w:rsidR="00CE76CD" w:rsidRDefault="00CE76CD">
      <w:pPr>
        <w:pStyle w:val="a3"/>
        <w:spacing w:before="10"/>
        <w:rPr>
          <w:b/>
        </w:rPr>
      </w:pPr>
    </w:p>
    <w:p w:rsidR="00CE76CD" w:rsidRDefault="00000000">
      <w:pPr>
        <w:pStyle w:val="a3"/>
        <w:spacing w:before="1" w:line="360" w:lineRule="auto"/>
        <w:ind w:left="235"/>
      </w:pPr>
      <w:r>
        <w:t xml:space="preserve">Bartsch, G. Jr., </w:t>
      </w:r>
      <w:proofErr w:type="spellStart"/>
      <w:r>
        <w:t>Frimberger</w:t>
      </w:r>
      <w:proofErr w:type="spellEnd"/>
      <w:r>
        <w:t xml:space="preserve">, D. (2004): Embryonale und adulte Stammzellen für Tissue </w:t>
      </w:r>
      <w:proofErr w:type="spellStart"/>
      <w:r>
        <w:t>Engi</w:t>
      </w:r>
      <w:proofErr w:type="spellEnd"/>
      <w:r>
        <w:t xml:space="preserve">- </w:t>
      </w:r>
      <w:proofErr w:type="spellStart"/>
      <w:r>
        <w:t>neering</w:t>
      </w:r>
      <w:proofErr w:type="spellEnd"/>
      <w:r>
        <w:t xml:space="preserve"> in der Urologie. In: Der Urologe, Ausgabe A, 43, 10, S. 1229-1236</w:t>
      </w:r>
    </w:p>
    <w:p w:rsidR="00CE76CD" w:rsidRDefault="00000000">
      <w:pPr>
        <w:pStyle w:val="a3"/>
        <w:spacing w:before="122" w:line="360" w:lineRule="auto"/>
        <w:ind w:left="235"/>
      </w:pPr>
      <w:r>
        <w:t xml:space="preserve">Beckmann, R. (1987): Embryonenschutz und Grundgesetz – Überlegungen zur </w:t>
      </w:r>
      <w:proofErr w:type="spellStart"/>
      <w:r>
        <w:t>Schutzwür</w:t>
      </w:r>
      <w:proofErr w:type="spellEnd"/>
      <w:r>
        <w:t xml:space="preserve">- </w:t>
      </w:r>
      <w:proofErr w:type="spellStart"/>
      <w:r>
        <w:t>digkeit</w:t>
      </w:r>
      <w:proofErr w:type="spellEnd"/>
      <w:r>
        <w:t xml:space="preserve"> extrakorporal gezeugter Embryonen. In: Zeitschrift für Rechtspolitik, 20, 3, S. 80-86</w:t>
      </w:r>
    </w:p>
    <w:p w:rsidR="00CE76CD" w:rsidRDefault="00000000">
      <w:pPr>
        <w:pStyle w:val="a3"/>
        <w:tabs>
          <w:tab w:val="left" w:pos="955"/>
          <w:tab w:val="left" w:pos="1569"/>
          <w:tab w:val="left" w:pos="3155"/>
          <w:tab w:val="left" w:pos="4149"/>
          <w:tab w:val="left" w:pos="5163"/>
          <w:tab w:val="left" w:pos="5817"/>
          <w:tab w:val="left" w:pos="6617"/>
          <w:tab w:val="left" w:pos="7231"/>
          <w:tab w:val="left" w:pos="9038"/>
        </w:tabs>
        <w:spacing w:before="118" w:line="360" w:lineRule="auto"/>
        <w:ind w:left="235" w:right="218"/>
      </w:pPr>
      <w:r>
        <w:t>Bild</w:t>
      </w:r>
      <w:r>
        <w:tab/>
        <w:t>der</w:t>
      </w:r>
      <w:r>
        <w:tab/>
        <w:t>Wissenschaft</w:t>
      </w:r>
      <w:r>
        <w:tab/>
        <w:t>(Hrsg.)</w:t>
      </w:r>
      <w:r>
        <w:tab/>
        <w:t>(2012):</w:t>
      </w:r>
      <w:r>
        <w:tab/>
        <w:t>Die</w:t>
      </w:r>
      <w:r>
        <w:tab/>
        <w:t>Sicht</w:t>
      </w:r>
      <w:r>
        <w:tab/>
        <w:t>der</w:t>
      </w:r>
      <w:r>
        <w:tab/>
        <w:t>Weltreligionen.</w:t>
      </w:r>
      <w:r>
        <w:tab/>
      </w:r>
      <w:r>
        <w:rPr>
          <w:spacing w:val="-6"/>
        </w:rPr>
        <w:t>In:</w:t>
      </w:r>
      <w:hyperlink r:id="rId13">
        <w:r>
          <w:rPr>
            <w:spacing w:val="-6"/>
          </w:rPr>
          <w:t xml:space="preserve"> </w:t>
        </w:r>
        <w:r>
          <w:t>www.wissenschaft.de/Archiv/-/journal_content/56/12054/1561233/Die-Sicht-der-</w:t>
        </w:r>
      </w:hyperlink>
      <w:r>
        <w:t xml:space="preserve"> Weltreligionen/, Zugriff am</w:t>
      </w:r>
      <w:r>
        <w:rPr>
          <w:spacing w:val="-1"/>
        </w:rPr>
        <w:t xml:space="preserve"> </w:t>
      </w:r>
      <w:r>
        <w:t>10.09.2018</w:t>
      </w:r>
    </w:p>
    <w:p w:rsidR="00CE76CD" w:rsidRDefault="00000000">
      <w:pPr>
        <w:pStyle w:val="a3"/>
        <w:spacing w:before="121" w:line="360" w:lineRule="auto"/>
        <w:ind w:left="235"/>
      </w:pPr>
      <w:r>
        <w:t xml:space="preserve">CECE Europe (Hrsg.) (o.J.): Ethische Überlegungen zur Forschung mit menschlichen </w:t>
      </w:r>
      <w:proofErr w:type="spellStart"/>
      <w:r>
        <w:t>Emb</w:t>
      </w:r>
      <w:proofErr w:type="spellEnd"/>
      <w:r>
        <w:t xml:space="preserve">- </w:t>
      </w:r>
      <w:proofErr w:type="spellStart"/>
      <w:r>
        <w:t>ryonalen</w:t>
      </w:r>
      <w:proofErr w:type="spellEnd"/>
      <w:r>
        <w:t xml:space="preserve"> Stammzellen, o.O.</w:t>
      </w:r>
    </w:p>
    <w:p w:rsidR="00CE76CD" w:rsidRDefault="00000000">
      <w:pPr>
        <w:pStyle w:val="a3"/>
        <w:tabs>
          <w:tab w:val="left" w:pos="1657"/>
          <w:tab w:val="left" w:pos="2999"/>
          <w:tab w:val="left" w:pos="4415"/>
          <w:tab w:val="left" w:pos="5704"/>
          <w:tab w:val="left" w:pos="6859"/>
          <w:tab w:val="left" w:pos="7815"/>
          <w:tab w:val="left" w:pos="9038"/>
        </w:tabs>
        <w:spacing w:before="118" w:line="360" w:lineRule="auto"/>
        <w:ind w:left="235" w:right="218"/>
      </w:pPr>
      <w:proofErr w:type="spellStart"/>
      <w:r>
        <w:t>Clinica</w:t>
      </w:r>
      <w:proofErr w:type="spellEnd"/>
      <w:r>
        <w:tab/>
        <w:t>Eugen</w:t>
      </w:r>
      <w:r>
        <w:tab/>
        <w:t>(Hrsg.)</w:t>
      </w:r>
      <w:r>
        <w:tab/>
        <w:t>(o.J.):</w:t>
      </w:r>
      <w:r>
        <w:tab/>
        <w:t>Was</w:t>
      </w:r>
      <w:r>
        <w:tab/>
        <w:t>ist</w:t>
      </w:r>
      <w:r>
        <w:tab/>
        <w:t>PID?</w:t>
      </w:r>
      <w:r>
        <w:tab/>
      </w:r>
      <w:r>
        <w:rPr>
          <w:spacing w:val="-6"/>
        </w:rPr>
        <w:t xml:space="preserve">In: </w:t>
      </w:r>
      <w:r>
        <w:t>ht</w:t>
      </w:r>
      <w:hyperlink r:id="rId14">
        <w:r>
          <w:t>tps://www.klinikeugin.de/behandlungen/ivf/pid/,</w:t>
        </w:r>
      </w:hyperlink>
      <w:r>
        <w:t xml:space="preserve"> Zugriff am</w:t>
      </w:r>
      <w:r>
        <w:rPr>
          <w:spacing w:val="-2"/>
        </w:rPr>
        <w:t xml:space="preserve"> </w:t>
      </w:r>
      <w:r>
        <w:t>30.10.2018</w:t>
      </w:r>
    </w:p>
    <w:p w:rsidR="00CE76CD" w:rsidRDefault="00000000">
      <w:pPr>
        <w:pStyle w:val="a3"/>
        <w:spacing w:before="122" w:line="360" w:lineRule="auto"/>
        <w:ind w:left="235" w:right="218"/>
        <w:jc w:val="both"/>
      </w:pPr>
      <w:r>
        <w:t>DBK (Hrsg.) (1989): Gott ist ein Freund des Lebens – Herausforderungen und Aufgaben beim Schutz des Lebens – Gemeinsame Erklärung des Rates der Evangelischen Kirche in Deutschland und der Deutschen Bischofskonferenz,</w:t>
      </w:r>
      <w:r>
        <w:rPr>
          <w:spacing w:val="-2"/>
        </w:rPr>
        <w:t xml:space="preserve"> </w:t>
      </w:r>
      <w:r>
        <w:t>Bonn</w:t>
      </w:r>
    </w:p>
    <w:p w:rsidR="00CE76CD" w:rsidRDefault="00000000">
      <w:pPr>
        <w:pStyle w:val="a3"/>
        <w:spacing w:before="117" w:line="360" w:lineRule="auto"/>
        <w:ind w:left="235" w:right="218"/>
        <w:jc w:val="both"/>
      </w:pPr>
      <w:r>
        <w:t>DBK (Hrsg.) (2006): Entscheidung des Europaparlaments ist eine schwere Niederlage für den Embryonenschutz in Europa, Pressemeldung, 19.06.2006, 61. In: ht</w:t>
      </w:r>
      <w:hyperlink r:id="rId15">
        <w:r>
          <w:t>tps://www.dbk.de/presse/details/?presseid=679&amp;cHash=3459e20c2213f9f2c584c924ca51e3</w:t>
        </w:r>
      </w:hyperlink>
      <w:r>
        <w:t xml:space="preserve"> 71, Zugriff am 25.09.2018</w:t>
      </w:r>
    </w:p>
    <w:p w:rsidR="00CE76CD" w:rsidRDefault="00000000">
      <w:pPr>
        <w:pStyle w:val="a3"/>
        <w:spacing w:before="120" w:line="362" w:lineRule="auto"/>
        <w:ind w:left="235" w:right="219"/>
        <w:jc w:val="both"/>
      </w:pPr>
      <w:r>
        <w:t xml:space="preserve">Deutsche Buddhistische Union (Hrsg.) (2011): Stellungnahme zu verbrauchender Embryo- </w:t>
      </w:r>
      <w:proofErr w:type="spellStart"/>
      <w:r>
        <w:t>nenforschung</w:t>
      </w:r>
      <w:proofErr w:type="spellEnd"/>
      <w:r>
        <w:t xml:space="preserve"> und PID, o.O.</w:t>
      </w:r>
    </w:p>
    <w:p w:rsidR="00CE76CD" w:rsidRDefault="00000000">
      <w:pPr>
        <w:pStyle w:val="a3"/>
        <w:spacing w:before="117"/>
        <w:ind w:left="235"/>
        <w:jc w:val="both"/>
      </w:pPr>
      <w:r>
        <w:t>Die Zeit (Hrsg.) (2016): Forscher lassen Embryonen im Labor wachsen, Hamburg</w:t>
      </w:r>
    </w:p>
    <w:p w:rsidR="00CE76CD" w:rsidRDefault="00CE76CD">
      <w:pPr>
        <w:pStyle w:val="a3"/>
        <w:spacing w:before="3"/>
        <w:rPr>
          <w:sz w:val="22"/>
        </w:rPr>
      </w:pPr>
    </w:p>
    <w:p w:rsidR="00CE76CD" w:rsidRDefault="00000000">
      <w:pPr>
        <w:pStyle w:val="a3"/>
        <w:spacing w:before="1" w:line="360" w:lineRule="auto"/>
        <w:ind w:left="235" w:right="218"/>
        <w:jc w:val="both"/>
      </w:pPr>
      <w:proofErr w:type="spellStart"/>
      <w:r>
        <w:t>Dikiciler</w:t>
      </w:r>
      <w:proofErr w:type="spellEnd"/>
      <w:r>
        <w:t>, U. (2010): Ökonomische Bewertung der Embryonenforschung – Deutschland, Großbritannien und die Vereinigten Staaten im Vergleich, Hamburg</w:t>
      </w:r>
    </w:p>
    <w:p w:rsidR="00CE76CD" w:rsidRDefault="00000000">
      <w:pPr>
        <w:pStyle w:val="a3"/>
        <w:spacing w:before="122" w:line="360" w:lineRule="auto"/>
        <w:ind w:left="235" w:right="218"/>
        <w:jc w:val="both"/>
      </w:pPr>
      <w:r>
        <w:t xml:space="preserve">DRZE (Hrsg.) (2017): Präimplantationsdiagnostik, Embryonenforschung, Klonen – Ein </w:t>
      </w:r>
      <w:proofErr w:type="spellStart"/>
      <w:r>
        <w:t>ver</w:t>
      </w:r>
      <w:proofErr w:type="spellEnd"/>
      <w:r>
        <w:t xml:space="preserve">- gleichender Überblick zur Rechtslage in ausgewählten Ländern, Freiburg im Breis- </w:t>
      </w:r>
      <w:proofErr w:type="spellStart"/>
      <w:r>
        <w:t>gau</w:t>
      </w:r>
      <w:proofErr w:type="spellEnd"/>
      <w:r>
        <w:t>/München</w:t>
      </w:r>
    </w:p>
    <w:p w:rsidR="00CE76CD" w:rsidRDefault="00000000">
      <w:pPr>
        <w:pStyle w:val="a3"/>
        <w:spacing w:before="117" w:line="362" w:lineRule="auto"/>
        <w:ind w:left="235" w:right="218"/>
        <w:jc w:val="both"/>
      </w:pPr>
      <w:r>
        <w:t xml:space="preserve">Eibach, U. (2005): Gentechnik und Embryonenforschung – Leben als Schöpfung aus Men- </w:t>
      </w:r>
      <w:proofErr w:type="spellStart"/>
      <w:r>
        <w:t>schenhand</w:t>
      </w:r>
      <w:proofErr w:type="spellEnd"/>
      <w:r>
        <w:t>? Eine ethische Orientierung aus christlicher Sicht, Wuppertal</w:t>
      </w:r>
    </w:p>
    <w:p w:rsidR="00CE76CD" w:rsidRDefault="00CE76CD">
      <w:pPr>
        <w:spacing w:line="362" w:lineRule="auto"/>
        <w:jc w:val="both"/>
        <w:sectPr w:rsidR="00CE76CD">
          <w:pgSz w:w="11910" w:h="16840"/>
          <w:pgMar w:top="1000" w:right="1180" w:bottom="280" w:left="1200" w:header="736" w:footer="0" w:gutter="0"/>
          <w:cols w:space="720"/>
        </w:sectPr>
      </w:pPr>
    </w:p>
    <w:p w:rsidR="00CE76CD" w:rsidRDefault="00CE76CD">
      <w:pPr>
        <w:pStyle w:val="a3"/>
        <w:spacing w:before="11"/>
        <w:rPr>
          <w:sz w:val="29"/>
        </w:rPr>
      </w:pPr>
    </w:p>
    <w:p w:rsidR="00CE76CD" w:rsidRDefault="00000000">
      <w:pPr>
        <w:pStyle w:val="a3"/>
        <w:spacing w:before="90" w:line="360" w:lineRule="auto"/>
        <w:ind w:left="235" w:right="218"/>
        <w:jc w:val="both"/>
      </w:pPr>
      <w:r>
        <w:t xml:space="preserve">Eser, A., Koch, H.-G. (2003): Forschung mit humanen embryonalen Stammzellen im In- und Ausland – Rechtsgutachten </w:t>
      </w:r>
      <w:proofErr w:type="gramStart"/>
      <w:r>
        <w:t>zur den strafrechtlichen Grundlagen</w:t>
      </w:r>
      <w:proofErr w:type="gramEnd"/>
      <w:r>
        <w:t xml:space="preserve"> und Grenzen der Gewinnung, Verwendung und des Imports sowie der Beteiligung daran durch Veranlassung, Förderung und Beratung,</w:t>
      </w:r>
      <w:r>
        <w:rPr>
          <w:spacing w:val="-1"/>
        </w:rPr>
        <w:t xml:space="preserve"> </w:t>
      </w:r>
      <w:r>
        <w:t>Freiburg</w:t>
      </w:r>
    </w:p>
    <w:p w:rsidR="00CE76CD" w:rsidRDefault="00000000">
      <w:pPr>
        <w:pStyle w:val="a3"/>
        <w:spacing w:before="120"/>
        <w:ind w:left="235"/>
        <w:jc w:val="both"/>
      </w:pPr>
      <w:proofErr w:type="spellStart"/>
      <w:r>
        <w:t>Grotfeld</w:t>
      </w:r>
      <w:proofErr w:type="spellEnd"/>
      <w:r>
        <w:t>, S. (2000): Embryonenforschung – Einführung in die angewandte Ethik, Göttingen</w:t>
      </w:r>
    </w:p>
    <w:p w:rsidR="00CE76CD" w:rsidRDefault="00CE76CD">
      <w:pPr>
        <w:pStyle w:val="a3"/>
        <w:spacing w:before="8"/>
        <w:rPr>
          <w:sz w:val="22"/>
        </w:rPr>
      </w:pPr>
    </w:p>
    <w:p w:rsidR="00CE76CD" w:rsidRDefault="00000000">
      <w:pPr>
        <w:pStyle w:val="a3"/>
        <w:spacing w:line="360" w:lineRule="auto"/>
        <w:ind w:left="235" w:right="218"/>
        <w:jc w:val="both"/>
      </w:pPr>
      <w:r>
        <w:t xml:space="preserve">Guild, B.C., </w:t>
      </w:r>
      <w:proofErr w:type="spellStart"/>
      <w:r>
        <w:t>Finer</w:t>
      </w:r>
      <w:proofErr w:type="spellEnd"/>
      <w:r>
        <w:t xml:space="preserve">, M.H., Housman, D.E., Mulligan, R.C. (1988): Development </w:t>
      </w:r>
      <w:proofErr w:type="spellStart"/>
      <w:r>
        <w:t>of</w:t>
      </w:r>
      <w:proofErr w:type="spellEnd"/>
      <w:r>
        <w:t xml:space="preserve"> </w:t>
      </w:r>
      <w:proofErr w:type="spellStart"/>
      <w:r>
        <w:t>retrovirus</w:t>
      </w:r>
      <w:proofErr w:type="spellEnd"/>
      <w:r>
        <w:t xml:space="preserve"> </w:t>
      </w:r>
      <w:proofErr w:type="spellStart"/>
      <w:r>
        <w:t>vectors</w:t>
      </w:r>
      <w:proofErr w:type="spellEnd"/>
      <w:r>
        <w:t xml:space="preserve"> </w:t>
      </w:r>
      <w:proofErr w:type="spellStart"/>
      <w:r>
        <w:t>useful</w:t>
      </w:r>
      <w:proofErr w:type="spellEnd"/>
      <w:r>
        <w:t xml:space="preserve"> </w:t>
      </w:r>
      <w:proofErr w:type="spellStart"/>
      <w:r>
        <w:t>for</w:t>
      </w:r>
      <w:proofErr w:type="spellEnd"/>
      <w:r>
        <w:t xml:space="preserve"> </w:t>
      </w:r>
      <w:proofErr w:type="spellStart"/>
      <w:r>
        <w:t>expressing</w:t>
      </w:r>
      <w:proofErr w:type="spellEnd"/>
      <w:r>
        <w:t xml:space="preserve"> genes in </w:t>
      </w:r>
      <w:proofErr w:type="spellStart"/>
      <w:r>
        <w:t>cultured</w:t>
      </w:r>
      <w:proofErr w:type="spellEnd"/>
      <w:r>
        <w:t xml:space="preserve"> murine embryonal </w:t>
      </w:r>
      <w:proofErr w:type="spellStart"/>
      <w:r>
        <w:t>cells</w:t>
      </w:r>
      <w:proofErr w:type="spellEnd"/>
      <w:r>
        <w:t xml:space="preserve"> and </w:t>
      </w:r>
      <w:proofErr w:type="spellStart"/>
      <w:r>
        <w:t>hematopoietic</w:t>
      </w:r>
      <w:proofErr w:type="spellEnd"/>
      <w:r>
        <w:t xml:space="preserve"> </w:t>
      </w:r>
      <w:proofErr w:type="spellStart"/>
      <w:r>
        <w:t>cells</w:t>
      </w:r>
      <w:proofErr w:type="spellEnd"/>
      <w:r>
        <w:t xml:space="preserve"> in vivo. In: Journal </w:t>
      </w:r>
      <w:proofErr w:type="spellStart"/>
      <w:r>
        <w:t>of</w:t>
      </w:r>
      <w:proofErr w:type="spellEnd"/>
      <w:r>
        <w:t xml:space="preserve"> </w:t>
      </w:r>
      <w:proofErr w:type="spellStart"/>
      <w:r>
        <w:t>Virology</w:t>
      </w:r>
      <w:proofErr w:type="spellEnd"/>
      <w:r>
        <w:t>, 62, 10, S.</w:t>
      </w:r>
      <w:r>
        <w:rPr>
          <w:spacing w:val="-2"/>
        </w:rPr>
        <w:t xml:space="preserve"> </w:t>
      </w:r>
      <w:r>
        <w:t>3795-3801</w:t>
      </w:r>
    </w:p>
    <w:p w:rsidR="00CE76CD" w:rsidRDefault="00000000">
      <w:pPr>
        <w:pStyle w:val="a3"/>
        <w:spacing w:before="117" w:line="362" w:lineRule="auto"/>
        <w:ind w:left="235" w:right="218"/>
        <w:jc w:val="both"/>
      </w:pPr>
      <w:r>
        <w:t xml:space="preserve">Henn, W. (2002): Embryonenforschung und Verfassung – Lebensrecht und Menschenwürde des Embryos. In: </w:t>
      </w:r>
      <w:proofErr w:type="spellStart"/>
      <w:r>
        <w:t>JuristenZeitung</w:t>
      </w:r>
      <w:proofErr w:type="spellEnd"/>
      <w:r>
        <w:t>, 57, 11, S. 517-524</w:t>
      </w:r>
    </w:p>
    <w:p w:rsidR="00CE76CD" w:rsidRDefault="00000000">
      <w:pPr>
        <w:pStyle w:val="a3"/>
        <w:spacing w:before="117" w:line="360" w:lineRule="auto"/>
        <w:ind w:left="235" w:right="218"/>
        <w:jc w:val="both"/>
      </w:pPr>
      <w:r>
        <w:t>Huber, W. (2004): Dossier zur Embryonenforschung. In: Deutsches Ärzteblatt, 101, 7, S. 1136-1137</w:t>
      </w:r>
    </w:p>
    <w:p w:rsidR="00CE76CD" w:rsidRDefault="00000000">
      <w:pPr>
        <w:pStyle w:val="a3"/>
        <w:tabs>
          <w:tab w:val="left" w:pos="2320"/>
          <w:tab w:val="left" w:pos="4513"/>
          <w:tab w:val="left" w:pos="6239"/>
          <w:tab w:val="left" w:pos="9038"/>
        </w:tabs>
        <w:spacing w:before="118" w:line="360" w:lineRule="auto"/>
        <w:ind w:left="235" w:right="218"/>
      </w:pPr>
      <w:r>
        <w:t xml:space="preserve">Kammer für Öffentliche Verwaltung der Evangelischen Kirche in Deutschland (2012): Im Geist der Liebe mit dem Leben umgehen – Argumentationshilfe für aktuelle medizin- und bioethische Fragen 2012 – Ein Beitrag der Kammer für Öffentliche Verwaltung der Evangeli- </w:t>
      </w:r>
      <w:proofErr w:type="spellStart"/>
      <w:r>
        <w:t>schen</w:t>
      </w:r>
      <w:proofErr w:type="spellEnd"/>
      <w:r>
        <w:tab/>
        <w:t>Kirche</w:t>
      </w:r>
      <w:r>
        <w:tab/>
        <w:t>in</w:t>
      </w:r>
      <w:r>
        <w:tab/>
        <w:t>Deutschland.</w:t>
      </w:r>
      <w:r>
        <w:tab/>
      </w:r>
      <w:r>
        <w:rPr>
          <w:spacing w:val="-6"/>
        </w:rPr>
        <w:t xml:space="preserve">In: </w:t>
      </w:r>
      <w:r>
        <w:t>ht</w:t>
      </w:r>
      <w:hyperlink r:id="rId16">
        <w:r>
          <w:t>tps://www.ekd.de/ekd_de/ds_doc/ekd_text_71_im_geist_der_liebe_mit_dem_leben_umgeh</w:t>
        </w:r>
      </w:hyperlink>
      <w:r>
        <w:t xml:space="preserve"> en.pdf, Zugriff am</w:t>
      </w:r>
      <w:r>
        <w:rPr>
          <w:spacing w:val="-1"/>
        </w:rPr>
        <w:t xml:space="preserve"> </w:t>
      </w:r>
      <w:r>
        <w:t>20.09.2018</w:t>
      </w:r>
    </w:p>
    <w:p w:rsidR="00CE76CD" w:rsidRDefault="00000000">
      <w:pPr>
        <w:pStyle w:val="a3"/>
        <w:spacing w:before="122" w:line="360" w:lineRule="auto"/>
        <w:ind w:left="235" w:right="219"/>
      </w:pPr>
      <w:proofErr w:type="spellStart"/>
      <w:r>
        <w:t>Kleinsmith</w:t>
      </w:r>
      <w:proofErr w:type="spellEnd"/>
      <w:r>
        <w:t xml:space="preserve">, L.J., Pierce, G.B. Jr. (1964): </w:t>
      </w:r>
      <w:proofErr w:type="spellStart"/>
      <w:r>
        <w:t>Multipotentiality</w:t>
      </w:r>
      <w:proofErr w:type="spellEnd"/>
      <w:r>
        <w:t xml:space="preserve"> </w:t>
      </w:r>
      <w:proofErr w:type="spellStart"/>
      <w:r>
        <w:t>of</w:t>
      </w:r>
      <w:proofErr w:type="spellEnd"/>
      <w:r>
        <w:t xml:space="preserve"> Single </w:t>
      </w:r>
      <w:proofErr w:type="spellStart"/>
      <w:r>
        <w:t>Emybronal</w:t>
      </w:r>
      <w:proofErr w:type="spellEnd"/>
      <w:r>
        <w:t xml:space="preserve"> </w:t>
      </w:r>
      <w:proofErr w:type="spellStart"/>
      <w:r>
        <w:t>Carcinoma</w:t>
      </w:r>
      <w:proofErr w:type="spellEnd"/>
      <w:r>
        <w:t xml:space="preserve"> Cells. In: Cancer Research, 24, 9, S. 1524-1533.</w:t>
      </w:r>
    </w:p>
    <w:p w:rsidR="00CE76CD" w:rsidRDefault="00000000">
      <w:pPr>
        <w:pStyle w:val="a3"/>
        <w:spacing w:before="118" w:line="360" w:lineRule="auto"/>
        <w:ind w:left="235" w:right="218"/>
        <w:jc w:val="both"/>
      </w:pPr>
      <w:r>
        <w:t xml:space="preserve">McQueen, M.M., Walsh, F.J.L. (2002): </w:t>
      </w:r>
      <w:proofErr w:type="spellStart"/>
      <w:r>
        <w:t>Pragmatism</w:t>
      </w:r>
      <w:proofErr w:type="spellEnd"/>
      <w:r>
        <w:t xml:space="preserve"> and </w:t>
      </w:r>
      <w:proofErr w:type="spellStart"/>
      <w:r>
        <w:t>Conscience</w:t>
      </w:r>
      <w:proofErr w:type="spellEnd"/>
      <w:r>
        <w:t xml:space="preserve"> – A </w:t>
      </w:r>
      <w:proofErr w:type="spellStart"/>
      <w:r>
        <w:t>Religious</w:t>
      </w:r>
      <w:proofErr w:type="spellEnd"/>
      <w:r>
        <w:t xml:space="preserve"> </w:t>
      </w:r>
      <w:proofErr w:type="spellStart"/>
      <w:r>
        <w:t>Perspec</w:t>
      </w:r>
      <w:proofErr w:type="spellEnd"/>
      <w:r>
        <w:t xml:space="preserve">- </w:t>
      </w:r>
      <w:proofErr w:type="spellStart"/>
      <w:r>
        <w:t>tive</w:t>
      </w:r>
      <w:proofErr w:type="spellEnd"/>
      <w:r>
        <w:t xml:space="preserve"> on </w:t>
      </w:r>
      <w:proofErr w:type="spellStart"/>
      <w:r>
        <w:t>Competing</w:t>
      </w:r>
      <w:proofErr w:type="spellEnd"/>
      <w:r>
        <w:t xml:space="preserve"> Values in Embryo </w:t>
      </w:r>
      <w:proofErr w:type="spellStart"/>
      <w:r>
        <w:t>Experimentation</w:t>
      </w:r>
      <w:proofErr w:type="spellEnd"/>
      <w:r>
        <w:t xml:space="preserve">. In: The </w:t>
      </w:r>
      <w:proofErr w:type="spellStart"/>
      <w:r>
        <w:t>Linacre</w:t>
      </w:r>
      <w:proofErr w:type="spellEnd"/>
      <w:r>
        <w:t xml:space="preserve"> Quarterly, 69, 2, S. 120-132</w:t>
      </w:r>
    </w:p>
    <w:p w:rsidR="00CE76CD" w:rsidRDefault="00000000">
      <w:pPr>
        <w:pStyle w:val="a3"/>
        <w:spacing w:before="121" w:line="360" w:lineRule="auto"/>
        <w:ind w:left="235" w:right="218"/>
        <w:jc w:val="both"/>
      </w:pPr>
      <w:r>
        <w:t>Medizin Kompakt (Hrsg.) (2018): Stammzellenforschung. In: https://www.medizin- kompakt.de/</w:t>
      </w:r>
      <w:proofErr w:type="spellStart"/>
      <w:r>
        <w:t>stammzelle</w:t>
      </w:r>
      <w:proofErr w:type="spellEnd"/>
      <w:r>
        <w:t>, Zugriff am 30.10.2018</w:t>
      </w:r>
    </w:p>
    <w:p w:rsidR="00CE76CD" w:rsidRDefault="00000000">
      <w:pPr>
        <w:pStyle w:val="a3"/>
        <w:spacing w:before="118" w:line="362" w:lineRule="auto"/>
        <w:ind w:left="235" w:right="219"/>
        <w:jc w:val="both"/>
      </w:pPr>
      <w:proofErr w:type="spellStart"/>
      <w:r>
        <w:t>Minwegen</w:t>
      </w:r>
      <w:proofErr w:type="spellEnd"/>
      <w:r>
        <w:t>, R. (2006): Mögliche Probleme im Zusammenhang mit dem Stammzellgesetz und dem Embryonenschutzgesetz. In: Rechtstheorie, 37, S. 513-53</w:t>
      </w:r>
    </w:p>
    <w:p w:rsidR="00CE76CD" w:rsidRDefault="00000000">
      <w:pPr>
        <w:pStyle w:val="a3"/>
        <w:spacing w:before="117" w:line="360" w:lineRule="auto"/>
        <w:ind w:left="235" w:right="219"/>
        <w:jc w:val="both"/>
      </w:pPr>
      <w:r>
        <w:t>Pörtner, M. (1999): Vortrag anlässlich einer Arbeitstagung der DGSGB zum Humanismus in Kassel, Kassel</w:t>
      </w:r>
    </w:p>
    <w:p w:rsidR="00CE76CD" w:rsidRDefault="00CE76CD">
      <w:pPr>
        <w:spacing w:line="360" w:lineRule="auto"/>
        <w:jc w:val="both"/>
        <w:sectPr w:rsidR="00CE76CD">
          <w:pgSz w:w="11910" w:h="16840"/>
          <w:pgMar w:top="1000" w:right="1180" w:bottom="280" w:left="1200" w:header="736" w:footer="0" w:gutter="0"/>
          <w:cols w:space="720"/>
        </w:sectPr>
      </w:pPr>
    </w:p>
    <w:p w:rsidR="00CE76CD" w:rsidRDefault="00CE76CD">
      <w:pPr>
        <w:pStyle w:val="a3"/>
        <w:spacing w:before="11"/>
        <w:rPr>
          <w:sz w:val="29"/>
        </w:rPr>
      </w:pPr>
    </w:p>
    <w:p w:rsidR="00CE76CD" w:rsidRDefault="00000000">
      <w:pPr>
        <w:pStyle w:val="a3"/>
        <w:spacing w:before="90" w:line="360" w:lineRule="auto"/>
        <w:ind w:left="235" w:right="218"/>
        <w:jc w:val="both"/>
      </w:pPr>
      <w:proofErr w:type="spellStart"/>
      <w:r>
        <w:t>Przyłuska-Fiszer</w:t>
      </w:r>
      <w:proofErr w:type="spellEnd"/>
      <w:r>
        <w:t>, A. (2005): Die bioethische Diskussion über Reproduktionstechnologien und Embryonenforschung in Polen. In: Hofmann, H. (Hrsg.), Biopolitik grenzenlos, Wiesbaden, S. 55-84</w:t>
      </w:r>
    </w:p>
    <w:p w:rsidR="00CE76CD" w:rsidRDefault="00000000">
      <w:pPr>
        <w:pStyle w:val="a3"/>
        <w:spacing w:before="121" w:line="360" w:lineRule="auto"/>
        <w:ind w:left="235" w:right="219"/>
        <w:jc w:val="both"/>
      </w:pPr>
      <w:r>
        <w:t>Singer, P. (1995): Die Ethik der Embryonenforschung. In: Aufklärung und Kritik, Sonderheft, 01, S. 83-87</w:t>
      </w:r>
    </w:p>
    <w:p w:rsidR="00CE76CD" w:rsidRDefault="00000000">
      <w:pPr>
        <w:pStyle w:val="a3"/>
        <w:spacing w:before="122" w:line="360" w:lineRule="auto"/>
        <w:ind w:left="235" w:right="219"/>
        <w:jc w:val="both"/>
      </w:pPr>
      <w:proofErr w:type="spellStart"/>
      <w:r>
        <w:t>Warnock</w:t>
      </w:r>
      <w:proofErr w:type="spellEnd"/>
      <w:r>
        <w:t xml:space="preserve">, M. (1988): Report </w:t>
      </w:r>
      <w:proofErr w:type="spellStart"/>
      <w:r>
        <w:t>of</w:t>
      </w:r>
      <w:proofErr w:type="spellEnd"/>
      <w:r>
        <w:t xml:space="preserve"> </w:t>
      </w:r>
      <w:proofErr w:type="spellStart"/>
      <w:r>
        <w:t>the</w:t>
      </w:r>
      <w:proofErr w:type="spellEnd"/>
      <w:r>
        <w:t xml:space="preserve"> Committee </w:t>
      </w:r>
      <w:proofErr w:type="spellStart"/>
      <w:r>
        <w:t>of</w:t>
      </w:r>
      <w:proofErr w:type="spellEnd"/>
      <w:r>
        <w:t xml:space="preserve"> </w:t>
      </w:r>
      <w:proofErr w:type="spellStart"/>
      <w:r>
        <w:t>Inquiry</w:t>
      </w:r>
      <w:proofErr w:type="spellEnd"/>
      <w:r>
        <w:t xml:space="preserve"> </w:t>
      </w:r>
      <w:proofErr w:type="spellStart"/>
      <w:r>
        <w:t>into</w:t>
      </w:r>
      <w:proofErr w:type="spellEnd"/>
      <w:r>
        <w:t xml:space="preserve"> Human </w:t>
      </w:r>
      <w:proofErr w:type="spellStart"/>
      <w:r>
        <w:t>Fertilization</w:t>
      </w:r>
      <w:proofErr w:type="spellEnd"/>
      <w:r>
        <w:t xml:space="preserve"> and </w:t>
      </w:r>
      <w:proofErr w:type="spellStart"/>
      <w:r>
        <w:t>Em</w:t>
      </w:r>
      <w:proofErr w:type="spellEnd"/>
      <w:r>
        <w:t xml:space="preserve">- </w:t>
      </w:r>
      <w:proofErr w:type="spellStart"/>
      <w:r>
        <w:t>bryology</w:t>
      </w:r>
      <w:proofErr w:type="spellEnd"/>
      <w:r>
        <w:t xml:space="preserve">, Department </w:t>
      </w:r>
      <w:proofErr w:type="spellStart"/>
      <w:r>
        <w:t>of</w:t>
      </w:r>
      <w:proofErr w:type="spellEnd"/>
      <w:r>
        <w:t xml:space="preserve"> Health &amp; </w:t>
      </w:r>
      <w:proofErr w:type="spellStart"/>
      <w:r>
        <w:t>Social</w:t>
      </w:r>
      <w:proofErr w:type="spellEnd"/>
      <w:r>
        <w:t xml:space="preserve"> Security, London</w:t>
      </w:r>
    </w:p>
    <w:p w:rsidR="00CE76CD" w:rsidRDefault="00000000">
      <w:pPr>
        <w:pStyle w:val="a3"/>
        <w:tabs>
          <w:tab w:val="left" w:pos="4649"/>
          <w:tab w:val="left" w:pos="9038"/>
        </w:tabs>
        <w:spacing w:before="118" w:line="360" w:lineRule="auto"/>
        <w:ind w:left="235" w:right="218"/>
        <w:jc w:val="both"/>
      </w:pPr>
      <w:r>
        <w:t>WHO (Hrsg.) (2000): Die Familien-Gesundheitsschwester: Kontext, Rahmenkonzept und Curriculum,</w:t>
      </w:r>
      <w:r>
        <w:tab/>
        <w:t>27.01.2000.</w:t>
      </w:r>
      <w:r>
        <w:tab/>
      </w:r>
      <w:r>
        <w:rPr>
          <w:spacing w:val="-6"/>
        </w:rPr>
        <w:t>In:</w:t>
      </w:r>
      <w:hyperlink r:id="rId17">
        <w:r>
          <w:rPr>
            <w:spacing w:val="-6"/>
          </w:rPr>
          <w:t xml:space="preserve"> </w:t>
        </w:r>
        <w:r>
          <w:t>www.familiengesundheitspflege.de/files/assets/WHO_Curriculum_deutsch.pdf,</w:t>
        </w:r>
      </w:hyperlink>
      <w:r>
        <w:t xml:space="preserve"> Zugriff am 10.09.2018</w:t>
      </w:r>
    </w:p>
    <w:p w:rsidR="00CE76CD" w:rsidRDefault="00000000">
      <w:pPr>
        <w:pStyle w:val="a3"/>
        <w:spacing w:before="120" w:line="360" w:lineRule="auto"/>
        <w:ind w:left="235" w:right="218"/>
        <w:jc w:val="both"/>
      </w:pPr>
      <w:r>
        <w:t>zellux.net (Hrsg.) (</w:t>
      </w:r>
      <w:proofErr w:type="spellStart"/>
      <w:r>
        <w:t>o.J.a</w:t>
      </w:r>
      <w:proofErr w:type="spellEnd"/>
      <w:r>
        <w:t>): Die Evangelische Kirche. In: https://zellux.net/m.php?sid=12, Zu- griff am 20.09.2018</w:t>
      </w:r>
    </w:p>
    <w:p w:rsidR="00CE76CD" w:rsidRDefault="00000000">
      <w:pPr>
        <w:pStyle w:val="a3"/>
        <w:spacing w:before="123" w:line="360" w:lineRule="auto"/>
        <w:ind w:left="235" w:right="218"/>
        <w:jc w:val="both"/>
      </w:pPr>
      <w:r>
        <w:t>zellux.net (Hrsg.) (</w:t>
      </w:r>
      <w:proofErr w:type="spellStart"/>
      <w:r>
        <w:t>o.J.b</w:t>
      </w:r>
      <w:proofErr w:type="spellEnd"/>
      <w:r>
        <w:t>.): Die römisch-katholische Kirche. In: https://zellux.net/m.php?sid=11, Zugriff am 20.09.2018</w:t>
      </w:r>
    </w:p>
    <w:sectPr w:rsidR="00CE76CD">
      <w:pgSz w:w="11910" w:h="16840"/>
      <w:pgMar w:top="1000" w:right="1180" w:bottom="280" w:left="1200" w:header="7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26E" w:rsidRDefault="00C5026E">
      <w:r>
        <w:separator/>
      </w:r>
    </w:p>
  </w:endnote>
  <w:endnote w:type="continuationSeparator" w:id="0">
    <w:p w:rsidR="00C5026E" w:rsidRDefault="00C5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26E" w:rsidRDefault="00C5026E">
      <w:r>
        <w:separator/>
      </w:r>
    </w:p>
  </w:footnote>
  <w:footnote w:type="continuationSeparator" w:id="0">
    <w:p w:rsidR="00C5026E" w:rsidRDefault="00C5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76CD" w:rsidRDefault="00C5026E">
    <w:pPr>
      <w:pStyle w:val="a3"/>
      <w:spacing w:line="14" w:lineRule="auto"/>
      <w:rPr>
        <w:sz w:val="20"/>
      </w:rPr>
    </w:pPr>
    <w:r>
      <w:pict>
        <v:shapetype id="_x0000_t202" coordsize="21600,21600" o:spt="202" path="m,l,21600r21600,l21600,xe">
          <v:stroke joinstyle="miter"/>
          <v:path gradientshapeok="t" o:connecttype="rect"/>
        </v:shapetype>
        <v:shape id="_x0000_s1026" type="#_x0000_t202" alt="" style="position:absolute;margin-left:289.15pt;margin-top:35.8pt;width:18.7pt;height:15.3pt;z-index:-15999488;mso-wrap-style:square;mso-wrap-edited:f;mso-width-percent:0;mso-height-percent:0;mso-position-horizontal-relative:page;mso-position-vertical-relative:page;mso-width-percent:0;mso-height-percent:0;v-text-anchor:top" filled="f" stroked="f">
          <v:textbox inset="0,0,0,0">
            <w:txbxContent>
              <w:p w:rsidR="00CE76CD" w:rsidRDefault="00000000">
                <w:pPr>
                  <w:pStyle w:val="a3"/>
                  <w:spacing w:before="10"/>
                  <w:ind w:left="60"/>
                </w:pPr>
                <w:r>
                  <w:fldChar w:fldCharType="begin"/>
                </w:r>
                <w:r>
                  <w:instrText xml:space="preserve"> PAGE  \* ROMAN </w:instrText>
                </w:r>
                <w:r>
                  <w:fldChar w:fldCharType="separate"/>
                </w:r>
                <w:r>
                  <w:t>IV</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76CD" w:rsidRDefault="00C5026E">
    <w:pPr>
      <w:pStyle w:val="a3"/>
      <w:spacing w:line="14" w:lineRule="auto"/>
      <w:rPr>
        <w:sz w:val="20"/>
      </w:rPr>
    </w:pPr>
    <w:r>
      <w:pict>
        <v:shapetype id="_x0000_t202" coordsize="21600,21600" o:spt="202" path="m,l,21600r21600,l21600,xe">
          <v:stroke joinstyle="miter"/>
          <v:path gradientshapeok="t" o:connecttype="rect"/>
        </v:shapetype>
        <v:shape id="_x0000_s1025" type="#_x0000_t202" alt="" style="position:absolute;margin-left:289.5pt;margin-top:35.8pt;width:18pt;height:15.3pt;z-index:-15998976;mso-wrap-style:square;mso-wrap-edited:f;mso-width-percent:0;mso-height-percent:0;mso-position-horizontal-relative:page;mso-position-vertical-relative:page;mso-width-percent:0;mso-height-percent:0;v-text-anchor:top" filled="f" stroked="f">
          <v:textbox inset="0,0,0,0">
            <w:txbxContent>
              <w:p w:rsidR="00CE76CD" w:rsidRDefault="00000000">
                <w:pPr>
                  <w:pStyle w:val="a3"/>
                  <w:spacing w:before="10"/>
                  <w:ind w:left="60"/>
                </w:pP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80B29"/>
    <w:multiLevelType w:val="multilevel"/>
    <w:tmpl w:val="3A74E42A"/>
    <w:lvl w:ilvl="0">
      <w:start w:val="1"/>
      <w:numFmt w:val="decimal"/>
      <w:lvlText w:val="%1"/>
      <w:lvlJc w:val="left"/>
      <w:pPr>
        <w:ind w:left="445" w:hanging="210"/>
      </w:pPr>
      <w:rPr>
        <w:rFonts w:ascii="Times New Roman" w:eastAsia="Times New Roman" w:hAnsi="Times New Roman" w:cs="Times New Roman" w:hint="default"/>
        <w:b/>
        <w:bCs/>
        <w:w w:val="99"/>
        <w:sz w:val="28"/>
        <w:szCs w:val="28"/>
        <w:lang w:val="de-DE" w:eastAsia="en-US" w:bidi="ar-SA"/>
      </w:rPr>
    </w:lvl>
    <w:lvl w:ilvl="1">
      <w:start w:val="1"/>
      <w:numFmt w:val="decimal"/>
      <w:lvlText w:val="%1.%2"/>
      <w:lvlJc w:val="left"/>
      <w:pPr>
        <w:ind w:left="624" w:hanging="390"/>
      </w:pPr>
      <w:rPr>
        <w:rFonts w:ascii="Times New Roman" w:eastAsia="Times New Roman" w:hAnsi="Times New Roman" w:cs="Times New Roman" w:hint="default"/>
        <w:b/>
        <w:bCs/>
        <w:w w:val="99"/>
        <w:sz w:val="26"/>
        <w:szCs w:val="26"/>
        <w:lang w:val="de-DE" w:eastAsia="en-US" w:bidi="ar-SA"/>
      </w:rPr>
    </w:lvl>
    <w:lvl w:ilvl="2">
      <w:numFmt w:val="bullet"/>
      <w:lvlText w:val="•"/>
      <w:lvlJc w:val="left"/>
      <w:pPr>
        <w:ind w:left="1609" w:hanging="390"/>
      </w:pPr>
      <w:rPr>
        <w:rFonts w:hint="default"/>
        <w:lang w:val="de-DE" w:eastAsia="en-US" w:bidi="ar-SA"/>
      </w:rPr>
    </w:lvl>
    <w:lvl w:ilvl="3">
      <w:numFmt w:val="bullet"/>
      <w:lvlText w:val="•"/>
      <w:lvlJc w:val="left"/>
      <w:pPr>
        <w:ind w:left="2599" w:hanging="390"/>
      </w:pPr>
      <w:rPr>
        <w:rFonts w:hint="default"/>
        <w:lang w:val="de-DE" w:eastAsia="en-US" w:bidi="ar-SA"/>
      </w:rPr>
    </w:lvl>
    <w:lvl w:ilvl="4">
      <w:numFmt w:val="bullet"/>
      <w:lvlText w:val="•"/>
      <w:lvlJc w:val="left"/>
      <w:pPr>
        <w:ind w:left="3588" w:hanging="390"/>
      </w:pPr>
      <w:rPr>
        <w:rFonts w:hint="default"/>
        <w:lang w:val="de-DE" w:eastAsia="en-US" w:bidi="ar-SA"/>
      </w:rPr>
    </w:lvl>
    <w:lvl w:ilvl="5">
      <w:numFmt w:val="bullet"/>
      <w:lvlText w:val="•"/>
      <w:lvlJc w:val="left"/>
      <w:pPr>
        <w:ind w:left="4578" w:hanging="390"/>
      </w:pPr>
      <w:rPr>
        <w:rFonts w:hint="default"/>
        <w:lang w:val="de-DE" w:eastAsia="en-US" w:bidi="ar-SA"/>
      </w:rPr>
    </w:lvl>
    <w:lvl w:ilvl="6">
      <w:numFmt w:val="bullet"/>
      <w:lvlText w:val="•"/>
      <w:lvlJc w:val="left"/>
      <w:pPr>
        <w:ind w:left="5567" w:hanging="390"/>
      </w:pPr>
      <w:rPr>
        <w:rFonts w:hint="default"/>
        <w:lang w:val="de-DE" w:eastAsia="en-US" w:bidi="ar-SA"/>
      </w:rPr>
    </w:lvl>
    <w:lvl w:ilvl="7">
      <w:numFmt w:val="bullet"/>
      <w:lvlText w:val="•"/>
      <w:lvlJc w:val="left"/>
      <w:pPr>
        <w:ind w:left="6557" w:hanging="390"/>
      </w:pPr>
      <w:rPr>
        <w:rFonts w:hint="default"/>
        <w:lang w:val="de-DE" w:eastAsia="en-US" w:bidi="ar-SA"/>
      </w:rPr>
    </w:lvl>
    <w:lvl w:ilvl="8">
      <w:numFmt w:val="bullet"/>
      <w:lvlText w:val="•"/>
      <w:lvlJc w:val="left"/>
      <w:pPr>
        <w:ind w:left="7546" w:hanging="390"/>
      </w:pPr>
      <w:rPr>
        <w:rFonts w:hint="default"/>
        <w:lang w:val="de-DE" w:eastAsia="en-US" w:bidi="ar-SA"/>
      </w:rPr>
    </w:lvl>
  </w:abstractNum>
  <w:abstractNum w:abstractNumId="1" w15:restartNumberingAfterBreak="0">
    <w:nsid w:val="5A7D4645"/>
    <w:multiLevelType w:val="multilevel"/>
    <w:tmpl w:val="ADE49E2E"/>
    <w:lvl w:ilvl="0">
      <w:start w:val="1"/>
      <w:numFmt w:val="decimal"/>
      <w:lvlText w:val="%1"/>
      <w:lvlJc w:val="left"/>
      <w:pPr>
        <w:ind w:left="415" w:hanging="180"/>
      </w:pPr>
      <w:rPr>
        <w:rFonts w:ascii="Times New Roman" w:eastAsia="Times New Roman" w:hAnsi="Times New Roman" w:cs="Times New Roman" w:hint="default"/>
        <w:w w:val="100"/>
        <w:sz w:val="24"/>
        <w:szCs w:val="24"/>
        <w:lang w:val="de-DE" w:eastAsia="en-US" w:bidi="ar-SA"/>
      </w:rPr>
    </w:lvl>
    <w:lvl w:ilvl="1">
      <w:start w:val="1"/>
      <w:numFmt w:val="decimal"/>
      <w:lvlText w:val="%1.%2"/>
      <w:lvlJc w:val="left"/>
      <w:pPr>
        <w:ind w:left="815" w:hanging="360"/>
      </w:pPr>
      <w:rPr>
        <w:rFonts w:ascii="Times New Roman" w:eastAsia="Times New Roman" w:hAnsi="Times New Roman" w:cs="Times New Roman" w:hint="default"/>
        <w:spacing w:val="-1"/>
        <w:w w:val="100"/>
        <w:sz w:val="24"/>
        <w:szCs w:val="24"/>
        <w:lang w:val="de-DE" w:eastAsia="en-US" w:bidi="ar-SA"/>
      </w:rPr>
    </w:lvl>
    <w:lvl w:ilvl="2">
      <w:numFmt w:val="bullet"/>
      <w:lvlText w:val="•"/>
      <w:lvlJc w:val="left"/>
      <w:pPr>
        <w:ind w:left="1787" w:hanging="360"/>
      </w:pPr>
      <w:rPr>
        <w:rFonts w:hint="default"/>
        <w:lang w:val="de-DE" w:eastAsia="en-US" w:bidi="ar-SA"/>
      </w:rPr>
    </w:lvl>
    <w:lvl w:ilvl="3">
      <w:numFmt w:val="bullet"/>
      <w:lvlText w:val="•"/>
      <w:lvlJc w:val="left"/>
      <w:pPr>
        <w:ind w:left="2754" w:hanging="360"/>
      </w:pPr>
      <w:rPr>
        <w:rFonts w:hint="default"/>
        <w:lang w:val="de-DE" w:eastAsia="en-US" w:bidi="ar-SA"/>
      </w:rPr>
    </w:lvl>
    <w:lvl w:ilvl="4">
      <w:numFmt w:val="bullet"/>
      <w:lvlText w:val="•"/>
      <w:lvlJc w:val="left"/>
      <w:pPr>
        <w:ind w:left="3721" w:hanging="360"/>
      </w:pPr>
      <w:rPr>
        <w:rFonts w:hint="default"/>
        <w:lang w:val="de-DE" w:eastAsia="en-US" w:bidi="ar-SA"/>
      </w:rPr>
    </w:lvl>
    <w:lvl w:ilvl="5">
      <w:numFmt w:val="bullet"/>
      <w:lvlText w:val="•"/>
      <w:lvlJc w:val="left"/>
      <w:pPr>
        <w:ind w:left="4689" w:hanging="360"/>
      </w:pPr>
      <w:rPr>
        <w:rFonts w:hint="default"/>
        <w:lang w:val="de-DE" w:eastAsia="en-US" w:bidi="ar-SA"/>
      </w:rPr>
    </w:lvl>
    <w:lvl w:ilvl="6">
      <w:numFmt w:val="bullet"/>
      <w:lvlText w:val="•"/>
      <w:lvlJc w:val="left"/>
      <w:pPr>
        <w:ind w:left="5656" w:hanging="360"/>
      </w:pPr>
      <w:rPr>
        <w:rFonts w:hint="default"/>
        <w:lang w:val="de-DE" w:eastAsia="en-US" w:bidi="ar-SA"/>
      </w:rPr>
    </w:lvl>
    <w:lvl w:ilvl="7">
      <w:numFmt w:val="bullet"/>
      <w:lvlText w:val="•"/>
      <w:lvlJc w:val="left"/>
      <w:pPr>
        <w:ind w:left="6623" w:hanging="360"/>
      </w:pPr>
      <w:rPr>
        <w:rFonts w:hint="default"/>
        <w:lang w:val="de-DE" w:eastAsia="en-US" w:bidi="ar-SA"/>
      </w:rPr>
    </w:lvl>
    <w:lvl w:ilvl="8">
      <w:numFmt w:val="bullet"/>
      <w:lvlText w:val="•"/>
      <w:lvlJc w:val="left"/>
      <w:pPr>
        <w:ind w:left="7590" w:hanging="360"/>
      </w:pPr>
      <w:rPr>
        <w:rFonts w:hint="default"/>
        <w:lang w:val="de-DE" w:eastAsia="en-US" w:bidi="ar-SA"/>
      </w:rPr>
    </w:lvl>
  </w:abstractNum>
  <w:num w:numId="1" w16cid:durableId="1952588020">
    <w:abstractNumId w:val="0"/>
  </w:num>
  <w:num w:numId="2" w16cid:durableId="1054307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E76CD"/>
    <w:rsid w:val="00500635"/>
    <w:rsid w:val="00675FC3"/>
    <w:rsid w:val="00C5026E"/>
    <w:rsid w:val="00CE76C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B04183C"/>
  <w15:docId w15:val="{A0988153-7173-584C-A0AD-9094F589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de-DE"/>
    </w:rPr>
  </w:style>
  <w:style w:type="paragraph" w:styleId="1">
    <w:name w:val="heading 1"/>
    <w:basedOn w:val="a"/>
    <w:uiPriority w:val="9"/>
    <w:qFormat/>
    <w:pPr>
      <w:spacing w:before="87"/>
      <w:ind w:left="235"/>
      <w:outlineLvl w:val="0"/>
    </w:pPr>
    <w:rPr>
      <w:b/>
      <w:bCs/>
      <w:sz w:val="28"/>
      <w:szCs w:val="28"/>
    </w:rPr>
  </w:style>
  <w:style w:type="paragraph" w:styleId="2">
    <w:name w:val="heading 2"/>
    <w:basedOn w:val="a"/>
    <w:uiPriority w:val="9"/>
    <w:unhideWhenUsed/>
    <w:qFormat/>
    <w:pPr>
      <w:ind w:left="624" w:hanging="390"/>
      <w:outlineLvl w:val="1"/>
    </w:pPr>
    <w:rPr>
      <w:b/>
      <w:bCs/>
      <w:sz w:val="26"/>
      <w:szCs w:val="26"/>
    </w:rPr>
  </w:style>
  <w:style w:type="paragraph" w:styleId="3">
    <w:name w:val="heading 3"/>
    <w:basedOn w:val="a"/>
    <w:uiPriority w:val="9"/>
    <w:unhideWhenUsed/>
    <w:qFormat/>
    <w:pPr>
      <w:spacing w:line="297" w:lineRule="exact"/>
      <w:ind w:left="235"/>
      <w:outlineLvl w:val="2"/>
    </w:pPr>
    <w:rPr>
      <w:sz w:val="26"/>
      <w:szCs w:val="26"/>
    </w:rPr>
  </w:style>
  <w:style w:type="paragraph" w:styleId="4">
    <w:name w:val="heading 4"/>
    <w:basedOn w:val="a"/>
    <w:uiPriority w:val="9"/>
    <w:unhideWhenUsed/>
    <w:qFormat/>
    <w:pPr>
      <w:ind w:left="857" w:right="841"/>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7"/>
      <w:ind w:left="235"/>
    </w:pPr>
    <w:rPr>
      <w:sz w:val="24"/>
      <w:szCs w:val="24"/>
    </w:rPr>
  </w:style>
  <w:style w:type="paragraph" w:styleId="20">
    <w:name w:val="toc 2"/>
    <w:basedOn w:val="a"/>
    <w:uiPriority w:val="1"/>
    <w:qFormat/>
    <w:pPr>
      <w:spacing w:before="257"/>
      <w:ind w:left="815" w:hanging="361"/>
    </w:pPr>
    <w:rPr>
      <w:sz w:val="24"/>
      <w:szCs w:val="24"/>
    </w:rPr>
  </w:style>
  <w:style w:type="paragraph" w:styleId="a3">
    <w:name w:val="Body Text"/>
    <w:basedOn w:val="a"/>
    <w:uiPriority w:val="1"/>
    <w:qFormat/>
    <w:rPr>
      <w:sz w:val="24"/>
      <w:szCs w:val="24"/>
    </w:rPr>
  </w:style>
  <w:style w:type="paragraph" w:styleId="a4">
    <w:name w:val="Title"/>
    <w:basedOn w:val="a"/>
    <w:uiPriority w:val="10"/>
    <w:qFormat/>
    <w:pPr>
      <w:ind w:left="857" w:right="841"/>
      <w:jc w:val="center"/>
    </w:pPr>
    <w:rPr>
      <w:b/>
      <w:bCs/>
      <w:sz w:val="44"/>
      <w:szCs w:val="44"/>
    </w:rPr>
  </w:style>
  <w:style w:type="paragraph" w:styleId="a5">
    <w:name w:val="List Paragraph"/>
    <w:basedOn w:val="a"/>
    <w:uiPriority w:val="1"/>
    <w:qFormat/>
    <w:pPr>
      <w:spacing w:before="87"/>
      <w:ind w:left="815" w:hanging="361"/>
    </w:pPr>
  </w:style>
  <w:style w:type="paragraph" w:customStyle="1" w:styleId="TableParagraph">
    <w:name w:val="Table Paragraph"/>
    <w:basedOn w:val="a"/>
    <w:uiPriority w:val="1"/>
    <w:qFormat/>
    <w:pPr>
      <w:spacing w:before="1"/>
      <w:ind w:left="110"/>
    </w:pPr>
  </w:style>
  <w:style w:type="character" w:styleId="a6">
    <w:name w:val="Hyperlink"/>
    <w:basedOn w:val="a0"/>
    <w:uiPriority w:val="99"/>
    <w:unhideWhenUsed/>
    <w:rsid w:val="00500635"/>
    <w:rPr>
      <w:color w:val="0000FF" w:themeColor="hyperlink"/>
      <w:u w:val="single"/>
    </w:rPr>
  </w:style>
  <w:style w:type="character" w:styleId="a7">
    <w:name w:val="Unresolved Mention"/>
    <w:basedOn w:val="a0"/>
    <w:uiPriority w:val="99"/>
    <w:semiHidden/>
    <w:unhideWhenUsed/>
    <w:rsid w:val="00500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88044">
      <w:bodyDiv w:val="1"/>
      <w:marLeft w:val="0"/>
      <w:marRight w:val="0"/>
      <w:marTop w:val="0"/>
      <w:marBottom w:val="0"/>
      <w:divBdr>
        <w:top w:val="none" w:sz="0" w:space="0" w:color="auto"/>
        <w:left w:val="none" w:sz="0" w:space="0" w:color="auto"/>
        <w:bottom w:val="none" w:sz="0" w:space="0" w:color="auto"/>
        <w:right w:val="none" w:sz="0" w:space="0" w:color="auto"/>
      </w:divBdr>
    </w:div>
    <w:div w:id="588075924">
      <w:bodyDiv w:val="1"/>
      <w:marLeft w:val="0"/>
      <w:marRight w:val="0"/>
      <w:marTop w:val="0"/>
      <w:marBottom w:val="0"/>
      <w:divBdr>
        <w:top w:val="none" w:sz="0" w:space="0" w:color="auto"/>
        <w:left w:val="none" w:sz="0" w:space="0" w:color="auto"/>
        <w:bottom w:val="none" w:sz="0" w:space="0" w:color="auto"/>
        <w:right w:val="none" w:sz="0" w:space="0" w:color="auto"/>
      </w:divBdr>
    </w:div>
    <w:div w:id="1254364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tudemy.de" TargetMode="External"/><Relationship Id="rId13" Type="http://schemas.openxmlformats.org/officeDocument/2006/relationships/hyperlink" Target="http://www.wissenschaft.de/Archiv/-/journal_content/56/12054/1561233/Die-Sicht-d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www.familiengesundheitspflege.de/files/assets/WHO_Curriculum_deutsch.pdf" TargetMode="External"/><Relationship Id="rId2" Type="http://schemas.openxmlformats.org/officeDocument/2006/relationships/styles" Target="styles.xml"/><Relationship Id="rId16" Type="http://schemas.openxmlformats.org/officeDocument/2006/relationships/hyperlink" Target="http://www.ekd.de/ekd_de/ds_doc/ekd_text_71_im_geist_der_liebe_mit_dem_leben_umge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dbk.de/presse/details/?presseid=679&amp;cHash=3459e20c2213f9f2c584c924ca51e3"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klinikeugin.de/behandlungen/ivf/p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3904</Words>
  <Characters>22257</Characters>
  <Application>Microsoft Office Word</Application>
  <DocSecurity>0</DocSecurity>
  <Lines>185</Lines>
  <Paragraphs>52</Paragraphs>
  <ScaleCrop>false</ScaleCrop>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2022-12-02T11:06:00Z</dcterms:created>
  <dcterms:modified xsi:type="dcterms:W3CDTF">2023-06-28T11:48:00Z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2022-12-02T00:00:00Z</vt:filetime>
  </property>
</Properties>
</file>